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77F9B9DC" w:rsidP="54542AFB" w:rsidRDefault="4879CA90" w14:paraId="50FB21ED" w14:textId="24A58F15">
      <w:pPr>
        <w:pBdr>
          <w:bottom w:val="single" w:color="auto" w:sz="12" w:space="1"/>
        </w:pBdr>
        <w:tabs>
          <w:tab w:val="center" w:pos="4873"/>
        </w:tabs>
        <w:spacing w:after="0"/>
      </w:pPr>
      <w:r>
        <w:rPr>
          <w:noProof/>
        </w:rPr>
        <w:drawing>
          <wp:anchor distT="0" distB="0" distL="114300" distR="114300" simplePos="0" relativeHeight="251658240" behindDoc="0" locked="0" layoutInCell="1" allowOverlap="1" wp14:anchorId="74BCA771" wp14:editId="6AC48559">
            <wp:simplePos x="0" y="0"/>
            <wp:positionH relativeFrom="column">
              <wp:posOffset>4953000</wp:posOffset>
            </wp:positionH>
            <wp:positionV relativeFrom="paragraph">
              <wp:posOffset>-438150</wp:posOffset>
            </wp:positionV>
            <wp:extent cx="1525905" cy="541020"/>
            <wp:effectExtent l="0" t="0" r="0" b="0"/>
            <wp:wrapNone/>
            <wp:docPr id="2052901540" name="Picture 5" descr="A colorful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lorful logo with people in the midd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5905" cy="541020"/>
                    </a:xfrm>
                    <a:prstGeom prst="rect">
                      <a:avLst/>
                    </a:prstGeom>
                    <a:noFill/>
                  </pic:spPr>
                </pic:pic>
              </a:graphicData>
            </a:graphic>
            <wp14:sizeRelH relativeFrom="page">
              <wp14:pctWidth>0</wp14:pctWidth>
            </wp14:sizeRelH>
            <wp14:sizeRelV relativeFrom="page">
              <wp14:pctHeight>0</wp14:pctHeight>
            </wp14:sizeRelV>
          </wp:anchor>
        </w:drawing>
      </w:r>
    </w:p>
    <w:p w:rsidR="0099101A" w:rsidP="3BA59CFE" w:rsidRDefault="7EBCA9C7" w14:noSpellErr="1" w14:paraId="56035EC5" w14:textId="7885B94C">
      <w:pPr>
        <w:pBdr>
          <w:bottom w:val="single" w:color="FF000000" w:sz="12" w:space="1"/>
        </w:pBdr>
        <w:tabs>
          <w:tab w:val="center" w:pos="4873"/>
        </w:tabs>
        <w:spacing w:after="0"/>
        <w:rPr>
          <w:rFonts w:ascii="Tahoma" w:hAnsi="Tahoma" w:eastAsia="Times New Roman" w:cs="Tahoma"/>
          <w:sz w:val="32"/>
          <w:szCs w:val="32"/>
        </w:rPr>
      </w:pPr>
    </w:p>
    <w:p w:rsidR="0099101A" w:rsidP="3BA59CFE" w:rsidRDefault="7EBCA9C7" w14:paraId="36050271" w14:textId="45CF6115">
      <w:pPr>
        <w:pStyle w:val="Normal"/>
        <w:pBdr>
          <w:bottom w:val="single" w:color="FF000000" w:sz="12" w:space="1"/>
        </w:pBdr>
        <w:tabs>
          <w:tab w:val="center" w:pos="4873"/>
        </w:tabs>
        <w:spacing w:after="0"/>
        <w:jc w:val="center"/>
        <w:rPr>
          <w:rFonts w:ascii="Tahoma" w:hAnsi="Tahoma" w:eastAsia="Times New Roman" w:cs="Tahoma"/>
          <w:sz w:val="36"/>
          <w:szCs w:val="36"/>
        </w:rPr>
      </w:pPr>
      <w:r w:rsidRPr="3BA59CFE" w:rsidR="7EBCA9C7">
        <w:rPr>
          <w:rFonts w:ascii="Tahoma" w:hAnsi="Tahoma" w:eastAsia="Times New Roman" w:cs="Tahoma"/>
          <w:sz w:val="32"/>
          <w:szCs w:val="32"/>
        </w:rPr>
        <w:t>Gender Pay Gap 2026</w:t>
      </w:r>
    </w:p>
    <w:p w:rsidR="77F9B9DC" w:rsidP="77F9B9DC" w:rsidRDefault="77F9B9DC" w14:paraId="3BEDC847" w14:textId="373A56F3">
      <w:pPr>
        <w:pBdr>
          <w:bottom w:val="single" w:color="auto" w:sz="12" w:space="1"/>
        </w:pBdr>
        <w:tabs>
          <w:tab w:val="center" w:pos="4873"/>
        </w:tabs>
        <w:spacing w:after="0"/>
        <w:jc w:val="center"/>
        <w:rPr>
          <w:rFonts w:ascii="Tahoma" w:hAnsi="Tahoma" w:eastAsia="Times New Roman" w:cs="Tahoma"/>
          <w:sz w:val="28"/>
          <w:szCs w:val="28"/>
        </w:rPr>
      </w:pPr>
    </w:p>
    <w:p w:rsidRPr="00CF4396" w:rsidR="00CF1925" w:rsidP="005E1DDC" w:rsidRDefault="00CF1925" w14:paraId="39C8D6F1" w14:textId="77777777">
      <w:pPr>
        <w:spacing w:after="100" w:afterAutospacing="1"/>
        <w:jc w:val="both"/>
        <w:rPr>
          <w:rFonts w:ascii="Tahoma" w:hAnsi="Tahoma" w:eastAsia="Times New Roman" w:cs="Tahoma"/>
          <w:color w:val="000000"/>
          <w:sz w:val="24"/>
          <w:szCs w:val="24"/>
          <w:lang w:val="en-GB" w:eastAsia="en-GB"/>
        </w:rPr>
      </w:pPr>
    </w:p>
    <w:p w:rsidRPr="00CF4396" w:rsidR="00806151" w:rsidP="005E1DDC" w:rsidRDefault="00806151" w14:paraId="5B70B33D" w14:textId="0D92CF04">
      <w:pPr>
        <w:spacing w:after="100" w:afterAutospacing="1"/>
        <w:jc w:val="both"/>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All organisations employing over 250 people are required to publish their gender pay gap</w:t>
      </w:r>
      <w:r w:rsidRPr="00CF4396" w:rsidR="006B0584">
        <w:rPr>
          <w:rFonts w:ascii="Tahoma" w:hAnsi="Tahoma" w:eastAsia="Times New Roman" w:cs="Tahoma"/>
          <w:color w:val="000000"/>
          <w:sz w:val="24"/>
          <w:szCs w:val="24"/>
          <w:lang w:val="en-GB" w:eastAsia="en-GB"/>
        </w:rPr>
        <w:t xml:space="preserve"> each year.</w:t>
      </w:r>
      <w:r w:rsidRPr="00CF4396" w:rsidR="00DD1988">
        <w:rPr>
          <w:rFonts w:ascii="Tahoma" w:hAnsi="Tahoma" w:eastAsia="Times New Roman" w:cs="Tahoma"/>
          <w:color w:val="000000"/>
          <w:sz w:val="24"/>
          <w:szCs w:val="24"/>
          <w:lang w:val="en-GB" w:eastAsia="en-GB"/>
        </w:rPr>
        <w:t xml:space="preserve">  </w:t>
      </w:r>
      <w:r w:rsidRPr="00CF4396" w:rsidR="00386C31">
        <w:rPr>
          <w:rFonts w:ascii="Tahoma" w:hAnsi="Tahoma" w:eastAsia="Times New Roman" w:cs="Tahoma"/>
          <w:color w:val="000000"/>
          <w:sz w:val="24"/>
          <w:szCs w:val="24"/>
          <w:lang w:val="en-GB" w:eastAsia="en-GB"/>
        </w:rPr>
        <w:t>At the snapshot date</w:t>
      </w:r>
      <w:r w:rsidRPr="00CF4396" w:rsidR="005273CF">
        <w:rPr>
          <w:rFonts w:ascii="Tahoma" w:hAnsi="Tahoma" w:eastAsia="Times New Roman" w:cs="Tahoma"/>
          <w:color w:val="000000"/>
          <w:sz w:val="24"/>
          <w:szCs w:val="24"/>
          <w:lang w:val="en-GB" w:eastAsia="en-GB"/>
        </w:rPr>
        <w:t xml:space="preserve"> of 5</w:t>
      </w:r>
      <w:r w:rsidRPr="00CF4396" w:rsidR="005273CF">
        <w:rPr>
          <w:rFonts w:ascii="Tahoma" w:hAnsi="Tahoma" w:eastAsia="Times New Roman" w:cs="Tahoma"/>
          <w:color w:val="000000"/>
          <w:sz w:val="24"/>
          <w:szCs w:val="24"/>
          <w:vertAlign w:val="superscript"/>
          <w:lang w:val="en-GB" w:eastAsia="en-GB"/>
        </w:rPr>
        <w:t>th</w:t>
      </w:r>
      <w:r w:rsidRPr="00CF4396" w:rsidR="005273CF">
        <w:rPr>
          <w:rFonts w:ascii="Tahoma" w:hAnsi="Tahoma" w:eastAsia="Times New Roman" w:cs="Tahoma"/>
          <w:color w:val="000000"/>
          <w:sz w:val="24"/>
          <w:szCs w:val="24"/>
          <w:lang w:val="en-GB" w:eastAsia="en-GB"/>
        </w:rPr>
        <w:t xml:space="preserve"> April 202</w:t>
      </w:r>
      <w:r w:rsidRPr="00CF4396" w:rsidR="00735E6A">
        <w:rPr>
          <w:rFonts w:ascii="Tahoma" w:hAnsi="Tahoma" w:eastAsia="Times New Roman" w:cs="Tahoma"/>
          <w:color w:val="000000"/>
          <w:sz w:val="24"/>
          <w:szCs w:val="24"/>
          <w:lang w:val="en-GB" w:eastAsia="en-GB"/>
        </w:rPr>
        <w:t>6</w:t>
      </w:r>
      <w:r w:rsidRPr="00CF4396" w:rsidR="005273CF">
        <w:rPr>
          <w:rFonts w:ascii="Tahoma" w:hAnsi="Tahoma" w:eastAsia="Times New Roman" w:cs="Tahoma"/>
          <w:color w:val="000000"/>
          <w:sz w:val="24"/>
          <w:szCs w:val="24"/>
          <w:lang w:val="en-GB" w:eastAsia="en-GB"/>
        </w:rPr>
        <w:t>,</w:t>
      </w:r>
      <w:r w:rsidRPr="00CF4396" w:rsidR="00386C31">
        <w:rPr>
          <w:rFonts w:ascii="Tahoma" w:hAnsi="Tahoma" w:eastAsia="Times New Roman" w:cs="Tahoma"/>
          <w:color w:val="000000"/>
          <w:sz w:val="24"/>
          <w:szCs w:val="24"/>
          <w:lang w:val="en-GB" w:eastAsia="en-GB"/>
        </w:rPr>
        <w:t xml:space="preserve"> we employed </w:t>
      </w:r>
      <w:r w:rsidRPr="00CF4396" w:rsidR="00735E6A">
        <w:rPr>
          <w:rFonts w:ascii="Tahoma" w:hAnsi="Tahoma" w:eastAsia="Times New Roman" w:cs="Tahoma"/>
          <w:color w:val="000000"/>
          <w:sz w:val="24"/>
          <w:szCs w:val="24"/>
          <w:lang w:val="en-GB" w:eastAsia="en-GB"/>
        </w:rPr>
        <w:t>310</w:t>
      </w:r>
      <w:r w:rsidRPr="00CF4396" w:rsidR="00DD1988">
        <w:rPr>
          <w:rFonts w:ascii="Tahoma" w:hAnsi="Tahoma" w:eastAsia="Times New Roman" w:cs="Tahoma"/>
          <w:color w:val="000000"/>
          <w:sz w:val="24"/>
          <w:szCs w:val="24"/>
          <w:lang w:val="en-GB" w:eastAsia="en-GB"/>
        </w:rPr>
        <w:t xml:space="preserve"> </w:t>
      </w:r>
      <w:r w:rsidRPr="00CF4396" w:rsidR="00CF1925">
        <w:rPr>
          <w:rFonts w:ascii="Tahoma" w:hAnsi="Tahoma" w:eastAsia="Times New Roman" w:cs="Tahoma"/>
          <w:color w:val="000000"/>
          <w:sz w:val="24"/>
          <w:szCs w:val="24"/>
          <w:lang w:val="en-GB" w:eastAsia="en-GB"/>
        </w:rPr>
        <w:t>colleagues</w:t>
      </w:r>
      <w:r w:rsidRPr="00CF4396" w:rsidR="0099101A">
        <w:rPr>
          <w:rFonts w:ascii="Tahoma" w:hAnsi="Tahoma" w:eastAsia="Times New Roman" w:cs="Tahoma"/>
          <w:color w:val="000000"/>
          <w:sz w:val="24"/>
          <w:szCs w:val="24"/>
          <w:lang w:val="en-GB" w:eastAsia="en-GB"/>
        </w:rPr>
        <w:t>.</w:t>
      </w:r>
    </w:p>
    <w:p w:rsidRPr="00CF4396" w:rsidR="00DF335D" w:rsidP="005E1DDC" w:rsidRDefault="00DF335D" w14:paraId="5F0F95DF" w14:textId="0C8E65D0">
      <w:pPr>
        <w:spacing w:after="100" w:afterAutospacing="1"/>
        <w:jc w:val="both"/>
        <w:rPr>
          <w:rFonts w:ascii="Tahoma" w:hAnsi="Tahoma" w:eastAsia="Times New Roman" w:cs="Tahoma"/>
          <w:color w:val="000000"/>
          <w:sz w:val="24"/>
          <w:szCs w:val="24"/>
          <w:lang w:val="en-GB" w:eastAsia="en-GB"/>
        </w:rPr>
      </w:pPr>
      <w:r w:rsidRPr="00CF4396">
        <w:rPr>
          <w:rFonts w:ascii="Tahoma" w:hAnsi="Tahoma" w:cs="Tahoma"/>
          <w:sz w:val="24"/>
          <w:szCs w:val="24"/>
          <w:lang w:val="en-GB"/>
        </w:rPr>
        <w:t>As an organisation, publishing and monitoring pay gaps will help us understand the reasons for any gap and consider whether there is a need to develop action plans to tackle the causes. This is different from equal pay</w:t>
      </w:r>
      <w:r w:rsidRPr="00CF4396" w:rsidR="005273CF">
        <w:rPr>
          <w:rFonts w:ascii="Tahoma" w:hAnsi="Tahoma" w:cs="Tahoma"/>
          <w:sz w:val="24"/>
          <w:szCs w:val="24"/>
          <w:lang w:val="en-GB"/>
        </w:rPr>
        <w:t>,</w:t>
      </w:r>
      <w:r w:rsidRPr="00CF4396">
        <w:rPr>
          <w:rFonts w:ascii="Tahoma" w:hAnsi="Tahoma" w:cs="Tahoma"/>
          <w:sz w:val="24"/>
          <w:szCs w:val="24"/>
          <w:lang w:val="en-GB"/>
        </w:rPr>
        <w:t xml:space="preserve"> which highlights when people are paid differently for the same job.</w:t>
      </w:r>
    </w:p>
    <w:p w:rsidRPr="00CF4396" w:rsidR="00383FA4" w:rsidP="005E1DDC" w:rsidRDefault="00383FA4" w14:paraId="6DCC666B" w14:textId="4F3E1872">
      <w:pPr>
        <w:spacing w:after="0"/>
        <w:jc w:val="both"/>
        <w:rPr>
          <w:rFonts w:ascii="Tahoma" w:hAnsi="Tahoma" w:eastAsia="Times New Roman" w:cs="Tahoma"/>
          <w:b/>
          <w:bCs/>
          <w:color w:val="012169"/>
          <w:sz w:val="24"/>
          <w:szCs w:val="24"/>
          <w:lang w:val="en-GB"/>
        </w:rPr>
      </w:pPr>
      <w:r w:rsidRPr="00CF4396">
        <w:rPr>
          <w:rFonts w:ascii="Tahoma" w:hAnsi="Tahoma" w:eastAsia="Times New Roman" w:cs="Tahoma"/>
          <w:b/>
          <w:bCs/>
          <w:color w:val="012169"/>
          <w:sz w:val="24"/>
          <w:szCs w:val="24"/>
          <w:lang w:val="en-GB"/>
        </w:rPr>
        <w:t>Our results</w:t>
      </w:r>
    </w:p>
    <w:p w:rsidRPr="00CF4396" w:rsidR="00CF1925" w:rsidP="005E1DDC" w:rsidRDefault="00CF1925" w14:paraId="47FA5224" w14:textId="77777777">
      <w:pPr>
        <w:spacing w:after="0"/>
        <w:jc w:val="both"/>
        <w:rPr>
          <w:rFonts w:ascii="Tahoma" w:hAnsi="Tahoma" w:eastAsia="Times New Roman" w:cs="Tahoma"/>
          <w:b/>
          <w:bCs/>
          <w:color w:val="012169"/>
          <w:sz w:val="24"/>
          <w:szCs w:val="24"/>
          <w:lang w:val="en-GB"/>
        </w:rPr>
      </w:pPr>
    </w:p>
    <w:p w:rsidRPr="00CF4396" w:rsidR="001D0FE5" w:rsidP="001D0FE5" w:rsidRDefault="00806151" w14:paraId="5DC2BF6D" w14:textId="61A477F9">
      <w:pPr>
        <w:spacing w:after="0"/>
        <w:jc w:val="both"/>
        <w:rPr>
          <w:rFonts w:ascii="Tahoma" w:hAnsi="Tahoma" w:eastAsia="Times New Roman" w:cs="Tahoma"/>
          <w:sz w:val="24"/>
          <w:szCs w:val="24"/>
          <w:lang w:val="en-GB"/>
        </w:rPr>
      </w:pPr>
      <w:r w:rsidRPr="00CF4396">
        <w:rPr>
          <w:rFonts w:ascii="Tahoma" w:hAnsi="Tahoma" w:eastAsia="Times New Roman" w:cs="Tahoma"/>
          <w:sz w:val="24"/>
          <w:szCs w:val="24"/>
          <w:lang w:val="en-GB"/>
        </w:rPr>
        <w:t xml:space="preserve">Our mean (average) Gender Pay Gap equates to </w:t>
      </w:r>
      <w:r w:rsidRPr="00CF4396" w:rsidR="00342FF1">
        <w:rPr>
          <w:rFonts w:ascii="Tahoma" w:hAnsi="Tahoma" w:eastAsia="Times New Roman" w:cs="Tahoma"/>
          <w:sz w:val="24"/>
          <w:szCs w:val="24"/>
          <w:lang w:val="en-GB"/>
        </w:rPr>
        <w:t>-1.2</w:t>
      </w:r>
      <w:r w:rsidRPr="00CF4396" w:rsidR="00DF17DD">
        <w:rPr>
          <w:rFonts w:ascii="Tahoma" w:hAnsi="Tahoma" w:eastAsia="Times New Roman" w:cs="Tahoma"/>
          <w:sz w:val="24"/>
          <w:szCs w:val="24"/>
          <w:lang w:val="en-GB"/>
        </w:rPr>
        <w:t>2</w:t>
      </w:r>
      <w:r w:rsidRPr="00CF4396">
        <w:rPr>
          <w:rFonts w:ascii="Tahoma" w:hAnsi="Tahoma" w:eastAsia="Times New Roman" w:cs="Tahoma"/>
          <w:sz w:val="24"/>
          <w:szCs w:val="24"/>
          <w:lang w:val="en-GB"/>
        </w:rPr>
        <w:t xml:space="preserve">%, meaning that males are paid on average </w:t>
      </w:r>
      <w:r w:rsidRPr="00CF4396" w:rsidR="00DF17DD">
        <w:rPr>
          <w:rFonts w:ascii="Tahoma" w:hAnsi="Tahoma" w:eastAsia="Times New Roman" w:cs="Tahoma"/>
          <w:sz w:val="24"/>
          <w:szCs w:val="24"/>
          <w:lang w:val="en-GB"/>
        </w:rPr>
        <w:t>24</w:t>
      </w:r>
      <w:r w:rsidRPr="00CF4396" w:rsidR="00DD1988">
        <w:rPr>
          <w:rFonts w:ascii="Tahoma" w:hAnsi="Tahoma" w:eastAsia="Times New Roman" w:cs="Tahoma"/>
          <w:sz w:val="24"/>
          <w:szCs w:val="24"/>
          <w:lang w:val="en-GB"/>
        </w:rPr>
        <w:t xml:space="preserve"> pence</w:t>
      </w:r>
      <w:r w:rsidRPr="00CF4396">
        <w:rPr>
          <w:rFonts w:ascii="Tahoma" w:hAnsi="Tahoma" w:eastAsia="Times New Roman" w:cs="Tahoma"/>
          <w:sz w:val="24"/>
          <w:szCs w:val="24"/>
          <w:lang w:val="en-GB"/>
        </w:rPr>
        <w:t xml:space="preserve"> per hour </w:t>
      </w:r>
      <w:r w:rsidRPr="00CF4396" w:rsidR="00DF17DD">
        <w:rPr>
          <w:rFonts w:ascii="Tahoma" w:hAnsi="Tahoma" w:eastAsia="Times New Roman" w:cs="Tahoma"/>
          <w:sz w:val="24"/>
          <w:szCs w:val="24"/>
          <w:lang w:val="en-GB"/>
        </w:rPr>
        <w:t>less</w:t>
      </w:r>
      <w:r w:rsidRPr="00CF4396">
        <w:rPr>
          <w:rFonts w:ascii="Tahoma" w:hAnsi="Tahoma" w:eastAsia="Times New Roman" w:cs="Tahoma"/>
          <w:sz w:val="24"/>
          <w:szCs w:val="24"/>
          <w:lang w:val="en-GB"/>
        </w:rPr>
        <w:t xml:space="preserve"> than females. </w:t>
      </w:r>
      <w:r w:rsidRPr="00CF4396" w:rsidR="00DF335D">
        <w:rPr>
          <w:rFonts w:ascii="Tahoma" w:hAnsi="Tahoma" w:eastAsia="Times New Roman" w:cs="Tahoma"/>
          <w:sz w:val="24"/>
          <w:szCs w:val="24"/>
          <w:lang w:val="en-GB"/>
        </w:rPr>
        <w:t xml:space="preserve"> </w:t>
      </w:r>
      <w:r w:rsidRPr="00CF4396" w:rsidR="001D0FE5">
        <w:rPr>
          <w:rFonts w:ascii="Tahoma" w:hAnsi="Tahoma" w:eastAsia="Times New Roman" w:cs="Tahoma"/>
          <w:sz w:val="24"/>
          <w:szCs w:val="24"/>
          <w:lang w:val="en-GB"/>
        </w:rPr>
        <w:t xml:space="preserve"> Last year our mean Gender Pay Gap was 2.16%, so this represents a positive shift and shows progress in balancing pay overall.</w:t>
      </w:r>
    </w:p>
    <w:p w:rsidRPr="00CF4396" w:rsidR="00DF335D" w:rsidP="005E1DDC" w:rsidRDefault="00DF335D" w14:paraId="7BB1B9BD" w14:textId="1336AC24">
      <w:pPr>
        <w:spacing w:after="0"/>
        <w:jc w:val="both"/>
        <w:rPr>
          <w:rFonts w:ascii="Tahoma" w:hAnsi="Tahoma" w:eastAsia="Times New Roman" w:cs="Tahoma"/>
          <w:sz w:val="24"/>
          <w:szCs w:val="24"/>
          <w:lang w:val="en-GB"/>
        </w:rPr>
      </w:pPr>
    </w:p>
    <w:p w:rsidRPr="00CF4396" w:rsidR="00B26F6E" w:rsidP="00B26F6E" w:rsidRDefault="00806151" w14:paraId="09934081" w14:textId="3BC33E08">
      <w:pPr>
        <w:spacing w:after="0"/>
        <w:jc w:val="both"/>
        <w:rPr>
          <w:rFonts w:ascii="Tahoma" w:hAnsi="Tahoma" w:eastAsia="Times New Roman" w:cs="Tahoma"/>
          <w:sz w:val="24"/>
          <w:szCs w:val="24"/>
          <w:lang w:val="en-GB"/>
        </w:rPr>
      </w:pPr>
      <w:r w:rsidRPr="00CF4396">
        <w:rPr>
          <w:rFonts w:ascii="Tahoma" w:hAnsi="Tahoma" w:eastAsia="Times New Roman" w:cs="Tahoma"/>
          <w:sz w:val="24"/>
          <w:szCs w:val="24"/>
          <w:lang w:val="en-GB"/>
        </w:rPr>
        <w:t xml:space="preserve">Our median (midpoint) Gender Pay Gap equates to </w:t>
      </w:r>
      <w:r w:rsidRPr="00CF4396" w:rsidR="00DD1988">
        <w:rPr>
          <w:rFonts w:ascii="Tahoma" w:hAnsi="Tahoma" w:eastAsia="Times New Roman" w:cs="Tahoma"/>
          <w:sz w:val="24"/>
          <w:szCs w:val="24"/>
          <w:lang w:val="en-GB"/>
        </w:rPr>
        <w:t>8.1</w:t>
      </w:r>
      <w:r w:rsidRPr="00CF4396" w:rsidR="00DF17DD">
        <w:rPr>
          <w:rFonts w:ascii="Tahoma" w:hAnsi="Tahoma" w:eastAsia="Times New Roman" w:cs="Tahoma"/>
          <w:sz w:val="24"/>
          <w:szCs w:val="24"/>
          <w:lang w:val="en-GB"/>
        </w:rPr>
        <w:t>8</w:t>
      </w:r>
      <w:r w:rsidRPr="00CF4396">
        <w:rPr>
          <w:rFonts w:ascii="Tahoma" w:hAnsi="Tahoma" w:eastAsia="Times New Roman" w:cs="Tahoma"/>
          <w:sz w:val="24"/>
          <w:szCs w:val="24"/>
          <w:lang w:val="en-GB"/>
        </w:rPr>
        <w:t>%, a difference of £1.</w:t>
      </w:r>
      <w:r w:rsidRPr="00CF4396" w:rsidR="00E06ABD">
        <w:rPr>
          <w:rFonts w:ascii="Tahoma" w:hAnsi="Tahoma" w:eastAsia="Times New Roman" w:cs="Tahoma"/>
          <w:sz w:val="24"/>
          <w:szCs w:val="24"/>
          <w:lang w:val="en-GB"/>
        </w:rPr>
        <w:t>51</w:t>
      </w:r>
      <w:r w:rsidRPr="00CF4396">
        <w:rPr>
          <w:rFonts w:ascii="Tahoma" w:hAnsi="Tahoma" w:eastAsia="Times New Roman" w:cs="Tahoma"/>
          <w:sz w:val="24"/>
          <w:szCs w:val="24"/>
          <w:lang w:val="en-GB"/>
        </w:rPr>
        <w:t xml:space="preserve"> per hour in favour of males.  This is slightly higher than our target of </w:t>
      </w:r>
      <w:r w:rsidRPr="00CF4396" w:rsidR="00DD1988">
        <w:rPr>
          <w:rFonts w:ascii="Tahoma" w:hAnsi="Tahoma" w:eastAsia="Times New Roman" w:cs="Tahoma"/>
          <w:sz w:val="24"/>
          <w:szCs w:val="24"/>
          <w:lang w:val="en-GB"/>
        </w:rPr>
        <w:t>8.00</w:t>
      </w:r>
      <w:r w:rsidRPr="00CF4396" w:rsidR="00C570C5">
        <w:rPr>
          <w:rFonts w:ascii="Tahoma" w:hAnsi="Tahoma" w:eastAsia="Times New Roman" w:cs="Tahoma"/>
          <w:sz w:val="24"/>
          <w:szCs w:val="24"/>
          <w:lang w:val="en-GB"/>
        </w:rPr>
        <w:t>% and a small increase on last year’s figure, which was 8.16%</w:t>
      </w:r>
      <w:r w:rsidRPr="00CF4396" w:rsidR="00B26F6E">
        <w:rPr>
          <w:rFonts w:ascii="Tahoma" w:hAnsi="Tahoma" w:eastAsia="Times New Roman" w:cs="Tahoma"/>
          <w:sz w:val="24"/>
          <w:szCs w:val="24"/>
          <w:lang w:val="en-GB"/>
        </w:rPr>
        <w:t>.  The median figure shows the pay rate of the ‘middle’ employee and is mainly affected by how men and women are spread across different roles and grades, rather than pay differences within the same job.</w:t>
      </w:r>
    </w:p>
    <w:p w:rsidRPr="00CF4396" w:rsidR="00FC0025" w:rsidP="005E1DDC" w:rsidRDefault="00FC0025" w14:paraId="2C0464C4" w14:textId="3F9A8FE4">
      <w:pPr>
        <w:spacing w:after="0"/>
        <w:jc w:val="both"/>
        <w:rPr>
          <w:rFonts w:ascii="Tahoma" w:hAnsi="Tahoma" w:eastAsia="Times New Roman" w:cs="Tahoma"/>
          <w:sz w:val="24"/>
          <w:szCs w:val="24"/>
          <w:lang w:val="en-GB"/>
        </w:rPr>
      </w:pPr>
    </w:p>
    <w:p w:rsidRPr="00CF4396" w:rsidR="00FC0025" w:rsidP="005E1DDC" w:rsidRDefault="00FC0025" w14:paraId="278EEBC1" w14:textId="49A4F31B">
      <w:pPr>
        <w:spacing w:after="0"/>
        <w:jc w:val="both"/>
        <w:rPr>
          <w:rFonts w:ascii="Tahoma" w:hAnsi="Tahoma" w:eastAsia="Times New Roman" w:cs="Tahoma"/>
          <w:sz w:val="24"/>
          <w:szCs w:val="24"/>
          <w:lang w:val="en-GB"/>
        </w:rPr>
      </w:pPr>
      <w:r w:rsidRPr="00CF4396">
        <w:rPr>
          <w:rFonts w:ascii="Tahoma" w:hAnsi="Tahoma" w:cs="Tahoma"/>
          <w:sz w:val="24"/>
          <w:szCs w:val="24"/>
          <w:lang w:val="en-GB"/>
        </w:rPr>
        <w:t>The quartile table below shows the percentage of each gender at each quartile in Community Gateway.</w:t>
      </w:r>
    </w:p>
    <w:p w:rsidRPr="00CF4396" w:rsidR="00FC0025" w:rsidP="005E1DDC" w:rsidRDefault="00FC0025" w14:paraId="51A7CB88" w14:textId="2D380590">
      <w:pPr>
        <w:spacing w:after="0"/>
        <w:jc w:val="both"/>
        <w:rPr>
          <w:rFonts w:ascii="Tahoma" w:hAnsi="Tahoma" w:eastAsia="Times New Roman" w:cs="Tahoma"/>
          <w:sz w:val="24"/>
          <w:szCs w:val="24"/>
          <w:lang w:val="en-GB"/>
        </w:rPr>
      </w:pPr>
    </w:p>
    <w:tbl>
      <w:tblPr>
        <w:tblW w:w="7747" w:type="dxa"/>
        <w:jc w:val="center"/>
        <w:tblLook w:val="04A0" w:firstRow="1" w:lastRow="0" w:firstColumn="1" w:lastColumn="0" w:noHBand="0" w:noVBand="1"/>
      </w:tblPr>
      <w:tblGrid>
        <w:gridCol w:w="2712"/>
        <w:gridCol w:w="2903"/>
        <w:gridCol w:w="1094"/>
        <w:gridCol w:w="1038"/>
      </w:tblGrid>
      <w:tr w:rsidRPr="00CF4396" w:rsidR="00FC0025" w:rsidTr="005273CF" w14:paraId="5FEAB901" w14:textId="77777777">
        <w:trPr>
          <w:trHeight w:val="508"/>
          <w:jc w:val="center"/>
        </w:trPr>
        <w:tc>
          <w:tcPr>
            <w:tcW w:w="2712" w:type="dxa"/>
            <w:tcBorders>
              <w:top w:val="single" w:color="auto" w:sz="4" w:space="0"/>
              <w:left w:val="single" w:color="auto" w:sz="4" w:space="0"/>
              <w:bottom w:val="single" w:color="auto" w:sz="4" w:space="0"/>
              <w:right w:val="single" w:color="auto" w:sz="4" w:space="0"/>
            </w:tcBorders>
            <w:shd w:val="clear" w:color="auto" w:fill="012169"/>
            <w:noWrap/>
            <w:vAlign w:val="bottom"/>
            <w:hideMark/>
          </w:tcPr>
          <w:p w:rsidRPr="00CF4396" w:rsidR="00FC0025" w:rsidP="00FC0025" w:rsidRDefault="00FC0025" w14:paraId="22126C9B" w14:textId="77777777">
            <w:pPr>
              <w:spacing w:after="0" w:line="240" w:lineRule="auto"/>
              <w:rPr>
                <w:rFonts w:ascii="Tahoma" w:hAnsi="Tahoma" w:eastAsia="Times New Roman" w:cs="Tahoma"/>
                <w:color w:val="FFFFFF"/>
                <w:sz w:val="24"/>
                <w:szCs w:val="24"/>
                <w:lang w:val="en-GB" w:eastAsia="en-GB"/>
              </w:rPr>
            </w:pPr>
            <w:r w:rsidRPr="00CF4396">
              <w:rPr>
                <w:rFonts w:ascii="Tahoma" w:hAnsi="Tahoma" w:eastAsia="Times New Roman" w:cs="Tahoma"/>
                <w:color w:val="FFFFFF"/>
                <w:sz w:val="24"/>
                <w:szCs w:val="24"/>
                <w:lang w:val="en-GB" w:eastAsia="en-GB"/>
              </w:rPr>
              <w:t>Quartile</w:t>
            </w:r>
          </w:p>
        </w:tc>
        <w:tc>
          <w:tcPr>
            <w:tcW w:w="2903" w:type="dxa"/>
            <w:tcBorders>
              <w:top w:val="single" w:color="auto" w:sz="4" w:space="0"/>
              <w:left w:val="nil"/>
              <w:bottom w:val="single" w:color="auto" w:sz="4" w:space="0"/>
              <w:right w:val="single" w:color="auto" w:sz="4" w:space="0"/>
            </w:tcBorders>
            <w:shd w:val="clear" w:color="auto" w:fill="012169"/>
            <w:noWrap/>
            <w:vAlign w:val="bottom"/>
            <w:hideMark/>
          </w:tcPr>
          <w:p w:rsidRPr="00CF4396" w:rsidR="00FC0025" w:rsidP="00FC0025" w:rsidRDefault="00FC0025" w14:paraId="37DD315A" w14:textId="7A0F3234">
            <w:pPr>
              <w:spacing w:after="0" w:line="240" w:lineRule="auto"/>
              <w:rPr>
                <w:rFonts w:ascii="Tahoma" w:hAnsi="Tahoma" w:eastAsia="Times New Roman" w:cs="Tahoma"/>
                <w:color w:val="FFFFFF"/>
                <w:sz w:val="24"/>
                <w:szCs w:val="24"/>
                <w:lang w:val="en-GB" w:eastAsia="en-GB"/>
              </w:rPr>
            </w:pPr>
            <w:r w:rsidRPr="00CF4396">
              <w:rPr>
                <w:rFonts w:ascii="Tahoma" w:hAnsi="Tahoma" w:eastAsia="Times New Roman" w:cs="Tahoma"/>
                <w:color w:val="FFFFFF"/>
                <w:sz w:val="24"/>
                <w:szCs w:val="24"/>
                <w:lang w:val="en-GB" w:eastAsia="en-GB"/>
              </w:rPr>
              <w:t>What does that mean</w:t>
            </w:r>
            <w:r w:rsidRPr="00CF4396" w:rsidR="00215FC1">
              <w:rPr>
                <w:rFonts w:ascii="Tahoma" w:hAnsi="Tahoma" w:eastAsia="Times New Roman" w:cs="Tahoma"/>
                <w:color w:val="FFFFFF"/>
                <w:sz w:val="24"/>
                <w:szCs w:val="24"/>
                <w:lang w:val="en-GB" w:eastAsia="en-GB"/>
              </w:rPr>
              <w:t>?</w:t>
            </w:r>
          </w:p>
        </w:tc>
        <w:tc>
          <w:tcPr>
            <w:tcW w:w="1094" w:type="dxa"/>
            <w:tcBorders>
              <w:top w:val="single" w:color="auto" w:sz="4" w:space="0"/>
              <w:left w:val="nil"/>
              <w:bottom w:val="single" w:color="auto" w:sz="4" w:space="0"/>
              <w:right w:val="single" w:color="auto" w:sz="4" w:space="0"/>
            </w:tcBorders>
            <w:shd w:val="clear" w:color="auto" w:fill="012169"/>
            <w:noWrap/>
            <w:vAlign w:val="bottom"/>
            <w:hideMark/>
          </w:tcPr>
          <w:p w:rsidRPr="00CF4396" w:rsidR="00FC0025" w:rsidP="00FC0025" w:rsidRDefault="00FC0025" w14:paraId="3BBB28A1" w14:textId="77777777">
            <w:pPr>
              <w:spacing w:after="0" w:line="240" w:lineRule="auto"/>
              <w:jc w:val="center"/>
              <w:rPr>
                <w:rFonts w:ascii="Tahoma" w:hAnsi="Tahoma" w:eastAsia="Times New Roman" w:cs="Tahoma"/>
                <w:color w:val="FFFFFF"/>
                <w:sz w:val="24"/>
                <w:szCs w:val="24"/>
                <w:lang w:val="en-GB" w:eastAsia="en-GB"/>
              </w:rPr>
            </w:pPr>
            <w:r w:rsidRPr="00CF4396">
              <w:rPr>
                <w:rFonts w:ascii="Tahoma" w:hAnsi="Tahoma" w:eastAsia="Times New Roman" w:cs="Tahoma"/>
                <w:color w:val="FFFFFF"/>
                <w:sz w:val="24"/>
                <w:szCs w:val="24"/>
                <w:lang w:val="en-GB" w:eastAsia="en-GB"/>
              </w:rPr>
              <w:t>Females</w:t>
            </w:r>
          </w:p>
        </w:tc>
        <w:tc>
          <w:tcPr>
            <w:tcW w:w="1038" w:type="dxa"/>
            <w:tcBorders>
              <w:top w:val="single" w:color="auto" w:sz="4" w:space="0"/>
              <w:left w:val="nil"/>
              <w:bottom w:val="single" w:color="auto" w:sz="4" w:space="0"/>
              <w:right w:val="single" w:color="auto" w:sz="4" w:space="0"/>
            </w:tcBorders>
            <w:shd w:val="clear" w:color="auto" w:fill="012169"/>
            <w:noWrap/>
            <w:vAlign w:val="bottom"/>
            <w:hideMark/>
          </w:tcPr>
          <w:p w:rsidRPr="00CF4396" w:rsidR="00FC0025" w:rsidP="00FC0025" w:rsidRDefault="00FC0025" w14:paraId="161287A6" w14:textId="77777777">
            <w:pPr>
              <w:spacing w:after="0" w:line="240" w:lineRule="auto"/>
              <w:jc w:val="center"/>
              <w:rPr>
                <w:rFonts w:ascii="Tahoma" w:hAnsi="Tahoma" w:eastAsia="Times New Roman" w:cs="Tahoma"/>
                <w:color w:val="FFFFFF"/>
                <w:sz w:val="24"/>
                <w:szCs w:val="24"/>
                <w:lang w:val="en-GB" w:eastAsia="en-GB"/>
              </w:rPr>
            </w:pPr>
            <w:r w:rsidRPr="00CF4396">
              <w:rPr>
                <w:rFonts w:ascii="Tahoma" w:hAnsi="Tahoma" w:eastAsia="Times New Roman" w:cs="Tahoma"/>
                <w:color w:val="FFFFFF"/>
                <w:sz w:val="24"/>
                <w:szCs w:val="24"/>
                <w:lang w:val="en-GB" w:eastAsia="en-GB"/>
              </w:rPr>
              <w:t xml:space="preserve">Males </w:t>
            </w:r>
          </w:p>
        </w:tc>
      </w:tr>
      <w:tr w:rsidRPr="00CF4396" w:rsidR="00FC0025" w:rsidTr="005273CF" w14:paraId="25F10D29" w14:textId="77777777">
        <w:trPr>
          <w:trHeight w:val="508"/>
          <w:jc w:val="center"/>
        </w:trPr>
        <w:tc>
          <w:tcPr>
            <w:tcW w:w="2712" w:type="dxa"/>
            <w:tcBorders>
              <w:top w:val="nil"/>
              <w:left w:val="single" w:color="auto" w:sz="4" w:space="0"/>
              <w:bottom w:val="single" w:color="auto" w:sz="4" w:space="0"/>
              <w:right w:val="single" w:color="auto" w:sz="4" w:space="0"/>
            </w:tcBorders>
            <w:noWrap/>
            <w:vAlign w:val="bottom"/>
            <w:hideMark/>
          </w:tcPr>
          <w:p w:rsidRPr="00CF4396" w:rsidR="00FC0025" w:rsidP="00FC0025" w:rsidRDefault="00FC0025" w14:paraId="4AC84310" w14:textId="77777777">
            <w:pPr>
              <w:spacing w:after="0" w:line="240" w:lineRule="auto"/>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Upper quartile</w:t>
            </w:r>
          </w:p>
        </w:tc>
        <w:tc>
          <w:tcPr>
            <w:tcW w:w="2903" w:type="dxa"/>
            <w:tcBorders>
              <w:top w:val="nil"/>
              <w:left w:val="nil"/>
              <w:bottom w:val="single" w:color="auto" w:sz="4" w:space="0"/>
              <w:right w:val="single" w:color="auto" w:sz="4" w:space="0"/>
            </w:tcBorders>
            <w:noWrap/>
            <w:vAlign w:val="bottom"/>
            <w:hideMark/>
          </w:tcPr>
          <w:p w:rsidRPr="00CF4396" w:rsidR="00FC0025" w:rsidP="00FC0025" w:rsidRDefault="00FC0025" w14:paraId="7FC1A5A2" w14:textId="77777777">
            <w:pPr>
              <w:spacing w:after="0" w:line="240" w:lineRule="auto"/>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(the highest paid 25%)</w:t>
            </w:r>
          </w:p>
        </w:tc>
        <w:tc>
          <w:tcPr>
            <w:tcW w:w="1094" w:type="dxa"/>
            <w:tcBorders>
              <w:top w:val="nil"/>
              <w:left w:val="nil"/>
              <w:bottom w:val="single" w:color="auto" w:sz="4" w:space="0"/>
              <w:right w:val="single" w:color="auto" w:sz="4" w:space="0"/>
            </w:tcBorders>
            <w:noWrap/>
            <w:vAlign w:val="bottom"/>
            <w:hideMark/>
          </w:tcPr>
          <w:p w:rsidRPr="00CF4396" w:rsidR="00FC0025" w:rsidP="00FC0025" w:rsidRDefault="00DD1988" w14:paraId="42FC3C7A" w14:textId="679B11F0">
            <w:pPr>
              <w:spacing w:after="0" w:line="240" w:lineRule="auto"/>
              <w:jc w:val="center"/>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4</w:t>
            </w:r>
            <w:r w:rsidRPr="00CF4396" w:rsidR="00E06ABD">
              <w:rPr>
                <w:rFonts w:ascii="Tahoma" w:hAnsi="Tahoma" w:eastAsia="Times New Roman" w:cs="Tahoma"/>
                <w:color w:val="000000"/>
                <w:sz w:val="24"/>
                <w:szCs w:val="24"/>
                <w:lang w:val="en-GB" w:eastAsia="en-GB"/>
              </w:rPr>
              <w:t>1</w:t>
            </w:r>
            <w:r w:rsidRPr="00CF4396" w:rsidR="00FC0025">
              <w:rPr>
                <w:rFonts w:ascii="Tahoma" w:hAnsi="Tahoma" w:eastAsia="Times New Roman" w:cs="Tahoma"/>
                <w:color w:val="000000"/>
                <w:sz w:val="24"/>
                <w:szCs w:val="24"/>
                <w:lang w:val="en-GB" w:eastAsia="en-GB"/>
              </w:rPr>
              <w:t>%</w:t>
            </w:r>
          </w:p>
        </w:tc>
        <w:tc>
          <w:tcPr>
            <w:tcW w:w="1038" w:type="dxa"/>
            <w:tcBorders>
              <w:top w:val="nil"/>
              <w:left w:val="nil"/>
              <w:bottom w:val="single" w:color="auto" w:sz="4" w:space="0"/>
              <w:right w:val="single" w:color="auto" w:sz="4" w:space="0"/>
            </w:tcBorders>
            <w:noWrap/>
            <w:vAlign w:val="bottom"/>
            <w:hideMark/>
          </w:tcPr>
          <w:p w:rsidRPr="00CF4396" w:rsidR="00FC0025" w:rsidP="00FC0025" w:rsidRDefault="00D461A6" w14:paraId="61A8DB47" w14:textId="07C17862">
            <w:pPr>
              <w:spacing w:after="0" w:line="240" w:lineRule="auto"/>
              <w:jc w:val="center"/>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59</w:t>
            </w:r>
            <w:r w:rsidRPr="00CF4396" w:rsidR="00DD1988">
              <w:rPr>
                <w:rFonts w:ascii="Tahoma" w:hAnsi="Tahoma" w:eastAsia="Times New Roman" w:cs="Tahoma"/>
                <w:color w:val="000000"/>
                <w:sz w:val="24"/>
                <w:szCs w:val="24"/>
                <w:lang w:val="en-GB" w:eastAsia="en-GB"/>
              </w:rPr>
              <w:t>%</w:t>
            </w:r>
          </w:p>
        </w:tc>
      </w:tr>
      <w:tr w:rsidRPr="00CF4396" w:rsidR="005273CF" w:rsidTr="005273CF" w14:paraId="35B3737A" w14:textId="77777777">
        <w:trPr>
          <w:trHeight w:val="508"/>
          <w:jc w:val="center"/>
        </w:trPr>
        <w:tc>
          <w:tcPr>
            <w:tcW w:w="2712" w:type="dxa"/>
            <w:tcBorders>
              <w:top w:val="nil"/>
              <w:left w:val="single" w:color="auto" w:sz="4" w:space="0"/>
              <w:bottom w:val="single" w:color="auto" w:sz="4" w:space="0"/>
              <w:right w:val="single" w:color="auto" w:sz="4" w:space="0"/>
            </w:tcBorders>
            <w:noWrap/>
            <w:vAlign w:val="bottom"/>
            <w:hideMark/>
          </w:tcPr>
          <w:p w:rsidRPr="00CF4396" w:rsidR="005273CF" w:rsidP="005273CF" w:rsidRDefault="005273CF" w14:paraId="2B92939F" w14:textId="77777777">
            <w:pPr>
              <w:spacing w:after="0" w:line="240" w:lineRule="auto"/>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Upper middle quartile</w:t>
            </w:r>
          </w:p>
        </w:tc>
        <w:tc>
          <w:tcPr>
            <w:tcW w:w="2903" w:type="dxa"/>
            <w:tcBorders>
              <w:top w:val="nil"/>
              <w:left w:val="nil"/>
              <w:bottom w:val="single" w:color="auto" w:sz="4" w:space="0"/>
              <w:right w:val="single" w:color="auto" w:sz="4" w:space="0"/>
            </w:tcBorders>
            <w:noWrap/>
            <w:vAlign w:val="bottom"/>
            <w:hideMark/>
          </w:tcPr>
          <w:p w:rsidRPr="00CF4396" w:rsidR="005273CF" w:rsidP="005273CF" w:rsidRDefault="005273CF" w14:paraId="3135F74E" w14:textId="77777777">
            <w:pPr>
              <w:spacing w:after="0" w:line="240" w:lineRule="auto"/>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(the next 25%)</w:t>
            </w:r>
          </w:p>
        </w:tc>
        <w:tc>
          <w:tcPr>
            <w:tcW w:w="1094" w:type="dxa"/>
            <w:tcBorders>
              <w:top w:val="nil"/>
              <w:left w:val="nil"/>
              <w:bottom w:val="single" w:color="auto" w:sz="4" w:space="0"/>
              <w:right w:val="single" w:color="auto" w:sz="4" w:space="0"/>
            </w:tcBorders>
            <w:noWrap/>
            <w:vAlign w:val="bottom"/>
            <w:hideMark/>
          </w:tcPr>
          <w:p w:rsidRPr="00CF4396" w:rsidR="005273CF" w:rsidP="005273CF" w:rsidRDefault="00562C9B" w14:paraId="7E5D3C2E" w14:textId="7CDE0A0E">
            <w:pPr>
              <w:spacing w:after="0" w:line="240" w:lineRule="auto"/>
              <w:jc w:val="center"/>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55</w:t>
            </w:r>
            <w:r w:rsidRPr="00CF4396" w:rsidR="005273CF">
              <w:rPr>
                <w:rFonts w:ascii="Tahoma" w:hAnsi="Tahoma" w:eastAsia="Times New Roman" w:cs="Tahoma"/>
                <w:color w:val="000000"/>
                <w:sz w:val="24"/>
                <w:szCs w:val="24"/>
                <w:lang w:val="en-GB" w:eastAsia="en-GB"/>
              </w:rPr>
              <w:t>%</w:t>
            </w:r>
          </w:p>
        </w:tc>
        <w:tc>
          <w:tcPr>
            <w:tcW w:w="1038" w:type="dxa"/>
            <w:tcBorders>
              <w:top w:val="nil"/>
              <w:left w:val="nil"/>
              <w:bottom w:val="single" w:color="auto" w:sz="4" w:space="0"/>
              <w:right w:val="single" w:color="auto" w:sz="4" w:space="0"/>
            </w:tcBorders>
            <w:noWrap/>
            <w:vAlign w:val="bottom"/>
            <w:hideMark/>
          </w:tcPr>
          <w:p w:rsidRPr="00CF4396" w:rsidR="005273CF" w:rsidP="005273CF" w:rsidRDefault="00D461A6" w14:paraId="59DAB08A" w14:textId="28D33324">
            <w:pPr>
              <w:spacing w:after="0" w:line="240" w:lineRule="auto"/>
              <w:jc w:val="center"/>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45</w:t>
            </w:r>
            <w:r w:rsidRPr="00CF4396" w:rsidR="005273CF">
              <w:rPr>
                <w:rFonts w:ascii="Tahoma" w:hAnsi="Tahoma" w:eastAsia="Times New Roman" w:cs="Tahoma"/>
                <w:color w:val="000000"/>
                <w:sz w:val="24"/>
                <w:szCs w:val="24"/>
                <w:lang w:val="en-GB" w:eastAsia="en-GB"/>
              </w:rPr>
              <w:t>%</w:t>
            </w:r>
          </w:p>
        </w:tc>
      </w:tr>
      <w:tr w:rsidRPr="00CF4396" w:rsidR="00FC0025" w:rsidTr="005273CF" w14:paraId="2CE33424" w14:textId="77777777">
        <w:trPr>
          <w:trHeight w:val="508"/>
          <w:jc w:val="center"/>
        </w:trPr>
        <w:tc>
          <w:tcPr>
            <w:tcW w:w="2712" w:type="dxa"/>
            <w:tcBorders>
              <w:top w:val="nil"/>
              <w:left w:val="single" w:color="auto" w:sz="4" w:space="0"/>
              <w:bottom w:val="single" w:color="auto" w:sz="4" w:space="0"/>
              <w:right w:val="single" w:color="auto" w:sz="4" w:space="0"/>
            </w:tcBorders>
            <w:noWrap/>
            <w:vAlign w:val="bottom"/>
            <w:hideMark/>
          </w:tcPr>
          <w:p w:rsidRPr="00CF4396" w:rsidR="00FC0025" w:rsidP="00FC0025" w:rsidRDefault="00FC0025" w14:paraId="4061E4E4" w14:textId="77777777">
            <w:pPr>
              <w:spacing w:after="0" w:line="240" w:lineRule="auto"/>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Lower middle quartile</w:t>
            </w:r>
          </w:p>
        </w:tc>
        <w:tc>
          <w:tcPr>
            <w:tcW w:w="2903" w:type="dxa"/>
            <w:tcBorders>
              <w:top w:val="nil"/>
              <w:left w:val="nil"/>
              <w:bottom w:val="single" w:color="auto" w:sz="4" w:space="0"/>
              <w:right w:val="single" w:color="auto" w:sz="4" w:space="0"/>
            </w:tcBorders>
            <w:noWrap/>
            <w:vAlign w:val="bottom"/>
            <w:hideMark/>
          </w:tcPr>
          <w:p w:rsidRPr="00CF4396" w:rsidR="00FC0025" w:rsidP="00FC0025" w:rsidRDefault="00FC0025" w14:paraId="0696C2F1" w14:textId="77777777">
            <w:pPr>
              <w:spacing w:after="0" w:line="240" w:lineRule="auto"/>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(the next 25%)</w:t>
            </w:r>
          </w:p>
        </w:tc>
        <w:tc>
          <w:tcPr>
            <w:tcW w:w="1094" w:type="dxa"/>
            <w:tcBorders>
              <w:top w:val="nil"/>
              <w:left w:val="nil"/>
              <w:bottom w:val="single" w:color="auto" w:sz="4" w:space="0"/>
              <w:right w:val="single" w:color="auto" w:sz="4" w:space="0"/>
            </w:tcBorders>
            <w:noWrap/>
            <w:vAlign w:val="bottom"/>
            <w:hideMark/>
          </w:tcPr>
          <w:p w:rsidRPr="00CF4396" w:rsidR="00FC0025" w:rsidP="00FC0025" w:rsidRDefault="00562C9B" w14:paraId="60C14F4C" w14:textId="24D370DE">
            <w:pPr>
              <w:spacing w:after="0" w:line="240" w:lineRule="auto"/>
              <w:jc w:val="center"/>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19</w:t>
            </w:r>
            <w:r w:rsidRPr="00CF4396" w:rsidR="00FC0025">
              <w:rPr>
                <w:rFonts w:ascii="Tahoma" w:hAnsi="Tahoma" w:eastAsia="Times New Roman" w:cs="Tahoma"/>
                <w:color w:val="000000"/>
                <w:sz w:val="24"/>
                <w:szCs w:val="24"/>
                <w:lang w:val="en-GB" w:eastAsia="en-GB"/>
              </w:rPr>
              <w:t>%</w:t>
            </w:r>
          </w:p>
        </w:tc>
        <w:tc>
          <w:tcPr>
            <w:tcW w:w="1038" w:type="dxa"/>
            <w:tcBorders>
              <w:top w:val="nil"/>
              <w:left w:val="nil"/>
              <w:bottom w:val="single" w:color="auto" w:sz="4" w:space="0"/>
              <w:right w:val="single" w:color="auto" w:sz="4" w:space="0"/>
            </w:tcBorders>
            <w:noWrap/>
            <w:vAlign w:val="bottom"/>
            <w:hideMark/>
          </w:tcPr>
          <w:p w:rsidRPr="00CF4396" w:rsidR="00FC0025" w:rsidP="00FC0025" w:rsidRDefault="00D461A6" w14:paraId="730BF5D7" w14:textId="29E45703">
            <w:pPr>
              <w:spacing w:after="0" w:line="240" w:lineRule="auto"/>
              <w:jc w:val="center"/>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81</w:t>
            </w:r>
            <w:r w:rsidRPr="00CF4396" w:rsidR="00FC0025">
              <w:rPr>
                <w:rFonts w:ascii="Tahoma" w:hAnsi="Tahoma" w:eastAsia="Times New Roman" w:cs="Tahoma"/>
                <w:color w:val="000000"/>
                <w:sz w:val="24"/>
                <w:szCs w:val="24"/>
                <w:lang w:val="en-GB" w:eastAsia="en-GB"/>
              </w:rPr>
              <w:t>%</w:t>
            </w:r>
          </w:p>
        </w:tc>
      </w:tr>
      <w:tr w:rsidRPr="00CF4396" w:rsidR="00FC0025" w:rsidTr="005273CF" w14:paraId="5631AD55" w14:textId="77777777">
        <w:trPr>
          <w:trHeight w:val="508"/>
          <w:jc w:val="center"/>
        </w:trPr>
        <w:tc>
          <w:tcPr>
            <w:tcW w:w="2712" w:type="dxa"/>
            <w:tcBorders>
              <w:top w:val="nil"/>
              <w:left w:val="single" w:color="auto" w:sz="4" w:space="0"/>
              <w:bottom w:val="single" w:color="auto" w:sz="4" w:space="0"/>
              <w:right w:val="single" w:color="auto" w:sz="4" w:space="0"/>
            </w:tcBorders>
            <w:noWrap/>
            <w:vAlign w:val="bottom"/>
            <w:hideMark/>
          </w:tcPr>
          <w:p w:rsidRPr="00CF4396" w:rsidR="00FC0025" w:rsidP="00FC0025" w:rsidRDefault="00FC0025" w14:paraId="23540672" w14:textId="77777777">
            <w:pPr>
              <w:spacing w:after="0" w:line="240" w:lineRule="auto"/>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Lower quartile</w:t>
            </w:r>
          </w:p>
        </w:tc>
        <w:tc>
          <w:tcPr>
            <w:tcW w:w="2903" w:type="dxa"/>
            <w:tcBorders>
              <w:top w:val="nil"/>
              <w:left w:val="nil"/>
              <w:bottom w:val="single" w:color="auto" w:sz="4" w:space="0"/>
              <w:right w:val="single" w:color="auto" w:sz="4" w:space="0"/>
            </w:tcBorders>
            <w:noWrap/>
            <w:vAlign w:val="bottom"/>
            <w:hideMark/>
          </w:tcPr>
          <w:p w:rsidRPr="00CF4396" w:rsidR="00FC0025" w:rsidP="00FC0025" w:rsidRDefault="00FC0025" w14:paraId="6988142F" w14:textId="2DC391F3">
            <w:pPr>
              <w:spacing w:after="0" w:line="240" w:lineRule="auto"/>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(the lowest paid 25%)</w:t>
            </w:r>
          </w:p>
        </w:tc>
        <w:tc>
          <w:tcPr>
            <w:tcW w:w="1094" w:type="dxa"/>
            <w:tcBorders>
              <w:top w:val="nil"/>
              <w:left w:val="nil"/>
              <w:bottom w:val="single" w:color="auto" w:sz="4" w:space="0"/>
              <w:right w:val="single" w:color="auto" w:sz="4" w:space="0"/>
            </w:tcBorders>
            <w:noWrap/>
            <w:vAlign w:val="bottom"/>
            <w:hideMark/>
          </w:tcPr>
          <w:p w:rsidRPr="00CF4396" w:rsidR="00FC0025" w:rsidP="00FC0025" w:rsidRDefault="00562C9B" w14:paraId="247B47F0" w14:textId="674BE24F">
            <w:pPr>
              <w:spacing w:after="0" w:line="240" w:lineRule="auto"/>
              <w:jc w:val="center"/>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43</w:t>
            </w:r>
            <w:r w:rsidRPr="00CF4396" w:rsidR="00FC0025">
              <w:rPr>
                <w:rFonts w:ascii="Tahoma" w:hAnsi="Tahoma" w:eastAsia="Times New Roman" w:cs="Tahoma"/>
                <w:color w:val="000000"/>
                <w:sz w:val="24"/>
                <w:szCs w:val="24"/>
                <w:lang w:val="en-GB" w:eastAsia="en-GB"/>
              </w:rPr>
              <w:t>%</w:t>
            </w:r>
          </w:p>
        </w:tc>
        <w:tc>
          <w:tcPr>
            <w:tcW w:w="1038" w:type="dxa"/>
            <w:tcBorders>
              <w:top w:val="nil"/>
              <w:left w:val="nil"/>
              <w:bottom w:val="single" w:color="auto" w:sz="4" w:space="0"/>
              <w:right w:val="single" w:color="auto" w:sz="4" w:space="0"/>
            </w:tcBorders>
            <w:noWrap/>
            <w:vAlign w:val="bottom"/>
            <w:hideMark/>
          </w:tcPr>
          <w:p w:rsidRPr="00CF4396" w:rsidR="00FC0025" w:rsidP="00FC0025" w:rsidRDefault="00D461A6" w14:paraId="28837524" w14:textId="21771AA4">
            <w:pPr>
              <w:spacing w:after="0" w:line="240" w:lineRule="auto"/>
              <w:jc w:val="center"/>
              <w:rPr>
                <w:rFonts w:ascii="Tahoma" w:hAnsi="Tahoma" w:eastAsia="Times New Roman" w:cs="Tahoma"/>
                <w:color w:val="000000"/>
                <w:sz w:val="24"/>
                <w:szCs w:val="24"/>
                <w:lang w:val="en-GB" w:eastAsia="en-GB"/>
              </w:rPr>
            </w:pPr>
            <w:r w:rsidRPr="00CF4396">
              <w:rPr>
                <w:rFonts w:ascii="Tahoma" w:hAnsi="Tahoma" w:eastAsia="Times New Roman" w:cs="Tahoma"/>
                <w:color w:val="000000"/>
                <w:sz w:val="24"/>
                <w:szCs w:val="24"/>
                <w:lang w:val="en-GB" w:eastAsia="en-GB"/>
              </w:rPr>
              <w:t>57</w:t>
            </w:r>
            <w:r w:rsidRPr="00CF4396" w:rsidR="00FC0025">
              <w:rPr>
                <w:rFonts w:ascii="Tahoma" w:hAnsi="Tahoma" w:eastAsia="Times New Roman" w:cs="Tahoma"/>
                <w:color w:val="000000"/>
                <w:sz w:val="24"/>
                <w:szCs w:val="24"/>
                <w:lang w:val="en-GB" w:eastAsia="en-GB"/>
              </w:rPr>
              <w:t>%</w:t>
            </w:r>
          </w:p>
        </w:tc>
      </w:tr>
    </w:tbl>
    <w:p w:rsidRPr="00CF4396" w:rsidR="00FC0025" w:rsidP="00FC0025" w:rsidRDefault="00FC0025" w14:paraId="593A2107" w14:textId="77777777">
      <w:pPr>
        <w:spacing w:after="0"/>
        <w:jc w:val="center"/>
        <w:rPr>
          <w:rFonts w:ascii="Tahoma" w:hAnsi="Tahoma" w:eastAsia="Times New Roman" w:cs="Tahoma"/>
          <w:sz w:val="24"/>
          <w:szCs w:val="24"/>
          <w:lang w:val="en-GB"/>
        </w:rPr>
      </w:pPr>
    </w:p>
    <w:p w:rsidRPr="003201AE" w:rsidR="003201AE" w:rsidP="003201AE" w:rsidRDefault="003201AE" w14:paraId="7A5808C2" w14:textId="77777777">
      <w:pPr>
        <w:spacing w:after="0"/>
        <w:jc w:val="both"/>
        <w:rPr>
          <w:rFonts w:ascii="Tahoma" w:hAnsi="Tahoma" w:eastAsia="Times New Roman" w:cs="Tahoma"/>
          <w:sz w:val="24"/>
          <w:szCs w:val="24"/>
          <w:lang w:val="en-GB"/>
        </w:rPr>
      </w:pPr>
      <w:r w:rsidRPr="003201AE">
        <w:rPr>
          <w:rFonts w:ascii="Tahoma" w:hAnsi="Tahoma" w:eastAsia="Times New Roman" w:cs="Tahoma"/>
          <w:sz w:val="24"/>
          <w:szCs w:val="24"/>
          <w:lang w:val="en-GB"/>
        </w:rPr>
        <w:t>Community Gateway does not operate a bonus scheme. As a result, there is no bonus pay data to report and bonus payments do not contribute to our gender pay gap. Our results are based solely on ordinary hourly pay.</w:t>
      </w:r>
    </w:p>
    <w:p w:rsidRPr="00CF4396" w:rsidR="00600C0B" w:rsidP="005E1DDC" w:rsidRDefault="00600C0B" w14:paraId="482AC096" w14:textId="77777777">
      <w:pPr>
        <w:spacing w:after="0"/>
        <w:jc w:val="both"/>
        <w:rPr>
          <w:rFonts w:ascii="Tahoma" w:hAnsi="Tahoma" w:eastAsia="Times New Roman" w:cs="Tahoma"/>
          <w:sz w:val="24"/>
          <w:szCs w:val="24"/>
          <w:lang w:val="en-GB"/>
        </w:rPr>
      </w:pPr>
    </w:p>
    <w:p w:rsidRPr="00CF4396" w:rsidR="00B147AB" w:rsidRDefault="00B147AB" w14:paraId="32A28366" w14:textId="77777777">
      <w:pPr>
        <w:rPr>
          <w:rFonts w:ascii="Tahoma" w:hAnsi="Tahoma" w:eastAsia="Times New Roman" w:cs="Tahoma"/>
          <w:b/>
          <w:bCs/>
          <w:color w:val="012169"/>
          <w:sz w:val="24"/>
          <w:szCs w:val="24"/>
          <w:lang w:val="en-GB"/>
        </w:rPr>
      </w:pPr>
      <w:r w:rsidRPr="00CF4396">
        <w:rPr>
          <w:rFonts w:ascii="Tahoma" w:hAnsi="Tahoma" w:eastAsia="Times New Roman" w:cs="Tahoma"/>
          <w:b/>
          <w:bCs/>
          <w:color w:val="012169"/>
          <w:sz w:val="24"/>
          <w:szCs w:val="24"/>
          <w:lang w:val="en-GB"/>
        </w:rPr>
        <w:br w:type="page"/>
      </w:r>
    </w:p>
    <w:p w:rsidRPr="00CF4396" w:rsidR="00806151" w:rsidP="005E1DDC" w:rsidRDefault="00383FA4" w14:paraId="6475251D" w14:textId="0E717BAE">
      <w:pPr>
        <w:spacing w:after="0"/>
        <w:jc w:val="both"/>
        <w:rPr>
          <w:rFonts w:ascii="Tahoma" w:hAnsi="Tahoma" w:eastAsia="Times New Roman" w:cs="Tahoma"/>
          <w:b/>
          <w:bCs/>
          <w:color w:val="012169"/>
          <w:sz w:val="24"/>
          <w:szCs w:val="24"/>
          <w:lang w:val="en-GB"/>
        </w:rPr>
      </w:pPr>
      <w:r w:rsidRPr="00CF4396">
        <w:rPr>
          <w:rFonts w:ascii="Tahoma" w:hAnsi="Tahoma" w:eastAsia="Times New Roman" w:cs="Tahoma"/>
          <w:b/>
          <w:bCs/>
          <w:color w:val="012169"/>
          <w:sz w:val="24"/>
          <w:szCs w:val="24"/>
          <w:lang w:val="en-GB"/>
        </w:rPr>
        <w:t>Assessing our data</w:t>
      </w:r>
    </w:p>
    <w:p w:rsidRPr="00CF4396" w:rsidR="00CF1925" w:rsidP="005E1DDC" w:rsidRDefault="00CF1925" w14:paraId="290A0F29" w14:textId="77777777">
      <w:pPr>
        <w:spacing w:after="0"/>
        <w:jc w:val="both"/>
        <w:rPr>
          <w:rFonts w:ascii="Tahoma" w:hAnsi="Tahoma" w:eastAsia="Times New Roman" w:cs="Tahoma"/>
          <w:b/>
          <w:bCs/>
          <w:color w:val="012169"/>
          <w:sz w:val="24"/>
          <w:szCs w:val="24"/>
          <w:lang w:val="en-GB"/>
        </w:rPr>
      </w:pPr>
    </w:p>
    <w:p w:rsidRPr="00CF4396" w:rsidR="00383FA4" w:rsidP="005E1DDC" w:rsidRDefault="00383FA4" w14:paraId="1A584B07" w14:textId="2EF61D12">
      <w:pPr>
        <w:spacing w:after="0"/>
        <w:jc w:val="both"/>
        <w:rPr>
          <w:rFonts w:ascii="Tahoma" w:hAnsi="Tahoma" w:eastAsia="Times New Roman" w:cs="Tahoma"/>
          <w:sz w:val="24"/>
          <w:szCs w:val="24"/>
          <w:lang w:val="en-GB"/>
        </w:rPr>
      </w:pPr>
      <w:r w:rsidRPr="00CF4396">
        <w:rPr>
          <w:rFonts w:ascii="Tahoma" w:hAnsi="Tahoma" w:cs="Tahoma"/>
          <w:color w:val="000000"/>
          <w:sz w:val="24"/>
          <w:szCs w:val="24"/>
          <w:lang w:val="en-GB"/>
        </w:rPr>
        <w:t xml:space="preserve">We are committed to building a diverse workforce at all levels of </w:t>
      </w:r>
      <w:r w:rsidRPr="00CF4396" w:rsidR="00FC0025">
        <w:rPr>
          <w:rFonts w:ascii="Tahoma" w:hAnsi="Tahoma" w:cs="Tahoma"/>
          <w:color w:val="000000"/>
          <w:sz w:val="24"/>
          <w:szCs w:val="24"/>
          <w:lang w:val="en-GB"/>
        </w:rPr>
        <w:t>Community Gateway and</w:t>
      </w:r>
      <w:r w:rsidRPr="00CF4396">
        <w:rPr>
          <w:rFonts w:ascii="Tahoma" w:hAnsi="Tahoma" w:cs="Tahoma"/>
          <w:color w:val="000000"/>
          <w:sz w:val="24"/>
          <w:szCs w:val="24"/>
          <w:lang w:val="en-GB"/>
        </w:rPr>
        <w:t xml:space="preserve"> </w:t>
      </w:r>
      <w:r w:rsidRPr="00CF4396">
        <w:rPr>
          <w:rFonts w:ascii="Tahoma" w:hAnsi="Tahoma" w:eastAsia="Times New Roman" w:cs="Tahoma"/>
          <w:sz w:val="24"/>
          <w:szCs w:val="24"/>
          <w:lang w:val="en-GB"/>
        </w:rPr>
        <w:t xml:space="preserve">have carried out analysis of the data to understand why this pay gap exists.  </w:t>
      </w:r>
    </w:p>
    <w:p w:rsidRPr="00CF4396" w:rsidR="00383FA4" w:rsidP="005E1DDC" w:rsidRDefault="00383FA4" w14:paraId="31B8D1E0" w14:textId="77777777">
      <w:pPr>
        <w:spacing w:after="0"/>
        <w:jc w:val="both"/>
        <w:rPr>
          <w:rFonts w:ascii="Tahoma" w:hAnsi="Tahoma" w:eastAsia="Times New Roman" w:cs="Tahoma"/>
          <w:sz w:val="24"/>
          <w:szCs w:val="24"/>
          <w:highlight w:val="yellow"/>
          <w:lang w:val="en-GB"/>
        </w:rPr>
      </w:pPr>
    </w:p>
    <w:p w:rsidRPr="00CF4396" w:rsidR="00383FA4" w:rsidP="005E1DDC" w:rsidRDefault="00383FA4" w14:paraId="74BE08CB" w14:textId="0AA5CEB2">
      <w:pPr>
        <w:spacing w:after="0"/>
        <w:jc w:val="both"/>
        <w:rPr>
          <w:rFonts w:ascii="Tahoma" w:hAnsi="Tahoma" w:cs="Tahoma"/>
          <w:sz w:val="24"/>
          <w:szCs w:val="24"/>
          <w:lang w:val="en-GB"/>
        </w:rPr>
      </w:pPr>
      <w:r w:rsidRPr="00CF4396">
        <w:rPr>
          <w:rFonts w:ascii="Tahoma" w:hAnsi="Tahoma" w:cs="Tahoma"/>
          <w:sz w:val="24"/>
          <w:szCs w:val="24"/>
          <w:lang w:val="en-GB"/>
        </w:rPr>
        <w:t xml:space="preserve">Our analysis shows that the gender pay gap exists largely because </w:t>
      </w:r>
      <w:r w:rsidRPr="00CF4396" w:rsidR="002B5EB2">
        <w:rPr>
          <w:rFonts w:ascii="Tahoma" w:hAnsi="Tahoma" w:cs="Tahoma"/>
          <w:sz w:val="24"/>
          <w:szCs w:val="24"/>
          <w:lang w:val="en-GB"/>
        </w:rPr>
        <w:t xml:space="preserve">our male and female colleagues are concentrated in different roles –just over 40% of our colleagues work in our </w:t>
      </w:r>
      <w:r w:rsidRPr="00CF4396" w:rsidR="00E92C9C">
        <w:rPr>
          <w:rFonts w:ascii="Tahoma" w:hAnsi="Tahoma" w:cs="Tahoma"/>
          <w:sz w:val="24"/>
          <w:szCs w:val="24"/>
          <w:lang w:val="en-GB"/>
        </w:rPr>
        <w:t xml:space="preserve">Assets and </w:t>
      </w:r>
      <w:r w:rsidRPr="00CF4396" w:rsidR="002B5EB2">
        <w:rPr>
          <w:rFonts w:ascii="Tahoma" w:hAnsi="Tahoma" w:cs="Tahoma"/>
          <w:sz w:val="24"/>
          <w:szCs w:val="24"/>
          <w:lang w:val="en-GB"/>
        </w:rPr>
        <w:t xml:space="preserve">Property Care teams which are predominantly male and attract a salary above the median for CGA.  </w:t>
      </w:r>
    </w:p>
    <w:p w:rsidRPr="00CF4396" w:rsidR="002B5EB2" w:rsidP="005E1DDC" w:rsidRDefault="002B5EB2" w14:paraId="11646F55" w14:textId="77777777">
      <w:pPr>
        <w:spacing w:after="0"/>
        <w:jc w:val="both"/>
        <w:rPr>
          <w:rFonts w:ascii="Tahoma" w:hAnsi="Tahoma" w:cs="Tahoma"/>
          <w:sz w:val="24"/>
          <w:szCs w:val="24"/>
          <w:lang w:val="en-GB"/>
        </w:rPr>
      </w:pPr>
    </w:p>
    <w:p w:rsidRPr="00CF4396" w:rsidR="006F4EE6" w:rsidP="4E98EE0C" w:rsidRDefault="003D1F0B" w14:paraId="40CCD137" w14:textId="5CE2A388">
      <w:pPr>
        <w:spacing w:after="0"/>
        <w:jc w:val="both"/>
        <w:rPr>
          <w:rFonts w:ascii="Tahoma" w:hAnsi="Tahoma" w:cs="Tahoma"/>
          <w:sz w:val="24"/>
          <w:szCs w:val="24"/>
          <w:lang w:val="en-GB"/>
        </w:rPr>
      </w:pPr>
      <w:r w:rsidRPr="00CF4396">
        <w:rPr>
          <w:rFonts w:ascii="Tahoma" w:hAnsi="Tahoma" w:cs="Tahoma"/>
          <w:sz w:val="24"/>
          <w:szCs w:val="24"/>
          <w:lang w:val="en-GB"/>
        </w:rPr>
        <w:t xml:space="preserve">Community Gateway is committed to supporting women across the organisation to advance their careers.  </w:t>
      </w:r>
      <w:r w:rsidRPr="00CF4396" w:rsidR="006F4EE6">
        <w:rPr>
          <w:rFonts w:ascii="Tahoma" w:hAnsi="Tahoma" w:cs="Tahoma"/>
          <w:sz w:val="24"/>
          <w:szCs w:val="24"/>
          <w:lang w:val="en-GB"/>
        </w:rPr>
        <w:t>Our mean</w:t>
      </w:r>
      <w:r w:rsidRPr="00CF4396" w:rsidR="00744FD9">
        <w:rPr>
          <w:rFonts w:ascii="Tahoma" w:hAnsi="Tahoma" w:cs="Tahoma"/>
          <w:sz w:val="24"/>
          <w:szCs w:val="24"/>
          <w:lang w:val="en-GB"/>
        </w:rPr>
        <w:t xml:space="preserve"> Gender Pay Gap </w:t>
      </w:r>
      <w:r w:rsidRPr="00CF4396" w:rsidR="00977341">
        <w:rPr>
          <w:rFonts w:ascii="Tahoma" w:hAnsi="Tahoma" w:cs="Tahoma"/>
          <w:sz w:val="24"/>
          <w:szCs w:val="24"/>
          <w:lang w:val="en-GB"/>
        </w:rPr>
        <w:t xml:space="preserve">has </w:t>
      </w:r>
      <w:r w:rsidRPr="00CF4396" w:rsidR="000941DB">
        <w:rPr>
          <w:rFonts w:ascii="Tahoma" w:hAnsi="Tahoma" w:cs="Tahoma"/>
          <w:sz w:val="24"/>
          <w:szCs w:val="24"/>
          <w:lang w:val="en-GB"/>
        </w:rPr>
        <w:t>moved</w:t>
      </w:r>
      <w:r w:rsidRPr="00CF4396" w:rsidR="001C41AC">
        <w:rPr>
          <w:rFonts w:ascii="Tahoma" w:hAnsi="Tahoma" w:cs="Tahoma"/>
          <w:sz w:val="24"/>
          <w:szCs w:val="24"/>
          <w:lang w:val="en-GB"/>
        </w:rPr>
        <w:t xml:space="preserve"> </w:t>
      </w:r>
      <w:r w:rsidRPr="00CF4396" w:rsidR="000941DB">
        <w:rPr>
          <w:rFonts w:ascii="Tahoma" w:hAnsi="Tahoma" w:cs="Tahoma"/>
          <w:sz w:val="24"/>
          <w:szCs w:val="24"/>
          <w:lang w:val="en-GB"/>
        </w:rPr>
        <w:t>3.38 percentage points in favour of females since last year, indicating that there are more women in senior roles.</w:t>
      </w:r>
      <w:r w:rsidRPr="00CF4396" w:rsidR="006816FC">
        <w:rPr>
          <w:rFonts w:ascii="Tahoma" w:hAnsi="Tahoma" w:cs="Tahoma"/>
          <w:sz w:val="24"/>
          <w:szCs w:val="24"/>
          <w:lang w:val="en-GB"/>
        </w:rPr>
        <w:t xml:space="preserve"> 50% of our Senior Managers are female.</w:t>
      </w:r>
    </w:p>
    <w:p w:rsidR="0035295C" w:rsidP="0035295C" w:rsidRDefault="0035295C" w14:paraId="47648865" w14:textId="77777777">
      <w:pPr>
        <w:spacing w:after="0"/>
        <w:jc w:val="both"/>
        <w:rPr>
          <w:rFonts w:ascii="Tahoma" w:hAnsi="Tahoma" w:eastAsia="Times New Roman" w:cs="Tahoma"/>
          <w:b/>
          <w:bCs/>
          <w:color w:val="012169"/>
          <w:sz w:val="24"/>
          <w:szCs w:val="24"/>
          <w:lang w:val="en-GB"/>
        </w:rPr>
      </w:pPr>
    </w:p>
    <w:p w:rsidRPr="00CF4396" w:rsidR="0035295C" w:rsidP="0035295C" w:rsidRDefault="0035295C" w14:paraId="6074DEEF" w14:textId="5F7284FB">
      <w:pPr>
        <w:spacing w:after="0"/>
        <w:jc w:val="both"/>
        <w:rPr>
          <w:rFonts w:ascii="Tahoma" w:hAnsi="Tahoma" w:eastAsia="Times New Roman" w:cs="Tahoma"/>
          <w:b/>
          <w:bCs/>
          <w:color w:val="012169"/>
          <w:sz w:val="24"/>
          <w:szCs w:val="24"/>
          <w:lang w:val="en-GB"/>
        </w:rPr>
      </w:pPr>
      <w:r w:rsidRPr="00CF4396">
        <w:rPr>
          <w:rFonts w:ascii="Tahoma" w:hAnsi="Tahoma" w:eastAsia="Times New Roman" w:cs="Tahoma"/>
          <w:b/>
          <w:bCs/>
          <w:color w:val="012169"/>
          <w:sz w:val="24"/>
          <w:szCs w:val="24"/>
          <w:lang w:val="en-GB"/>
        </w:rPr>
        <w:t>Taking action</w:t>
      </w:r>
    </w:p>
    <w:p w:rsidRPr="00CF4396" w:rsidR="006F4EE6" w:rsidP="4E98EE0C" w:rsidRDefault="006F4EE6" w14:paraId="16E45A6A" w14:textId="77777777">
      <w:pPr>
        <w:spacing w:after="0"/>
        <w:jc w:val="both"/>
        <w:rPr>
          <w:rFonts w:ascii="Tahoma" w:hAnsi="Tahoma" w:cs="Tahoma"/>
          <w:sz w:val="24"/>
          <w:szCs w:val="24"/>
          <w:highlight w:val="yellow"/>
          <w:lang w:val="en-GB"/>
        </w:rPr>
      </w:pPr>
    </w:p>
    <w:p w:rsidR="0083741C" w:rsidP="003D1F0B" w:rsidRDefault="0083741C" w14:paraId="32254D29" w14:textId="77777777">
      <w:pPr>
        <w:spacing w:after="0"/>
        <w:jc w:val="both"/>
        <w:rPr>
          <w:rFonts w:ascii="Tahoma" w:hAnsi="Tahoma" w:eastAsia="Times New Roman" w:cs="Tahoma"/>
          <w:sz w:val="24"/>
          <w:szCs w:val="24"/>
          <w:lang w:val="en-GB"/>
        </w:rPr>
      </w:pPr>
      <w:r w:rsidRPr="00CF4396">
        <w:rPr>
          <w:rFonts w:ascii="Tahoma" w:hAnsi="Tahoma" w:eastAsia="Times New Roman" w:cs="Tahoma"/>
          <w:sz w:val="24"/>
          <w:szCs w:val="24"/>
          <w:lang w:val="en-GB"/>
        </w:rPr>
        <w:t xml:space="preserve">Community Gateway has always worked hard to be an inclusive place to work where people can be themselves and where diversity is celebrated, but we recognise that there is always room to improve.  </w:t>
      </w:r>
    </w:p>
    <w:p w:rsidR="0083741C" w:rsidP="003D1F0B" w:rsidRDefault="0083741C" w14:paraId="1F222D42" w14:textId="77777777">
      <w:pPr>
        <w:spacing w:after="0"/>
        <w:jc w:val="both"/>
        <w:rPr>
          <w:rFonts w:ascii="Tahoma" w:hAnsi="Tahoma" w:eastAsia="Times New Roman" w:cs="Tahoma"/>
          <w:sz w:val="24"/>
          <w:szCs w:val="24"/>
          <w:lang w:val="en-GB"/>
        </w:rPr>
      </w:pPr>
    </w:p>
    <w:p w:rsidR="003D1F0B" w:rsidP="003D1F0B" w:rsidRDefault="003D1F0B" w14:paraId="36D5593C" w14:textId="5C0DF94F">
      <w:pPr>
        <w:spacing w:after="0"/>
        <w:jc w:val="both"/>
        <w:rPr>
          <w:rFonts w:ascii="Tahoma" w:hAnsi="Tahoma" w:cs="Tahoma"/>
          <w:sz w:val="24"/>
          <w:szCs w:val="24"/>
          <w:lang w:val="en-GB"/>
        </w:rPr>
      </w:pPr>
      <w:r w:rsidRPr="00977276">
        <w:rPr>
          <w:rFonts w:ascii="Tahoma" w:hAnsi="Tahoma" w:cs="Tahoma"/>
          <w:sz w:val="24"/>
          <w:szCs w:val="24"/>
          <w:lang w:val="en-GB"/>
        </w:rPr>
        <w:t>Our actions aim to tackle the reasons behind the gender pay gap. This includes encouraging more women into trades roles, supporting people to progress into higher</w:t>
      </w:r>
      <w:r w:rsidRPr="00977276">
        <w:rPr>
          <w:rFonts w:ascii="Tahoma" w:hAnsi="Tahoma" w:cs="Tahoma"/>
          <w:sz w:val="24"/>
          <w:szCs w:val="24"/>
          <w:lang w:val="en-GB"/>
        </w:rPr>
        <w:noBreakHyphen/>
      </w:r>
      <w:r w:rsidRPr="00977276">
        <w:rPr>
          <w:rFonts w:ascii="Tahoma" w:hAnsi="Tahoma" w:cs="Tahoma"/>
          <w:sz w:val="24"/>
          <w:szCs w:val="24"/>
          <w:lang w:val="en-GB"/>
        </w:rPr>
        <w:t xml:space="preserve">paid jobs, making sure men and women are paid equally for the same work, and keeping a close eye on workforce data. </w:t>
      </w:r>
      <w:r w:rsidR="004E2181">
        <w:rPr>
          <w:rFonts w:ascii="Tahoma" w:hAnsi="Tahoma" w:cs="Tahoma"/>
          <w:sz w:val="24"/>
          <w:szCs w:val="24"/>
          <w:lang w:val="en-GB"/>
        </w:rPr>
        <w:t xml:space="preserve"> </w:t>
      </w:r>
      <w:r w:rsidRPr="00977276">
        <w:rPr>
          <w:rFonts w:ascii="Tahoma" w:hAnsi="Tahoma" w:cs="Tahoma"/>
          <w:sz w:val="24"/>
          <w:szCs w:val="24"/>
          <w:lang w:val="en-GB"/>
        </w:rPr>
        <w:t>These actions support our commitment to being fair, open, and continuing to improve over time.</w:t>
      </w:r>
    </w:p>
    <w:p w:rsidRPr="00977276" w:rsidR="003D1F0B" w:rsidP="003D1F0B" w:rsidRDefault="003D1F0B" w14:paraId="230BCADE" w14:textId="77777777">
      <w:pPr>
        <w:spacing w:after="0"/>
        <w:jc w:val="both"/>
        <w:rPr>
          <w:rFonts w:ascii="Tahoma" w:hAnsi="Tahoma" w:cs="Tahoma"/>
          <w:sz w:val="24"/>
          <w:szCs w:val="24"/>
          <w:lang w:val="en-GB"/>
        </w:rPr>
      </w:pPr>
    </w:p>
    <w:p w:rsidRPr="00CF4396" w:rsidR="00CF4396" w:rsidP="00CF4396" w:rsidRDefault="00B27EC8" w14:paraId="1276AC34" w14:textId="43BE3AA6">
      <w:pPr>
        <w:spacing w:after="0"/>
        <w:jc w:val="both"/>
        <w:rPr>
          <w:rFonts w:ascii="Tahoma" w:hAnsi="Tahoma" w:cs="Tahoma"/>
          <w:sz w:val="24"/>
          <w:szCs w:val="24"/>
          <w:lang w:val="en-GB"/>
        </w:rPr>
      </w:pPr>
      <w:r w:rsidRPr="6CE01755">
        <w:rPr>
          <w:rFonts w:ascii="Tahoma" w:hAnsi="Tahoma" w:cs="Tahoma"/>
          <w:sz w:val="24"/>
          <w:szCs w:val="24"/>
          <w:lang w:val="en-GB"/>
        </w:rPr>
        <w:t xml:space="preserve">Women </w:t>
      </w:r>
      <w:r w:rsidRPr="6CE01755" w:rsidR="00383FA4">
        <w:rPr>
          <w:rFonts w:ascii="Tahoma" w:hAnsi="Tahoma" w:cs="Tahoma"/>
          <w:sz w:val="24"/>
          <w:szCs w:val="24"/>
          <w:lang w:val="en-GB"/>
        </w:rPr>
        <w:t xml:space="preserve">are </w:t>
      </w:r>
      <w:r w:rsidRPr="6CE01755" w:rsidR="006B0584">
        <w:rPr>
          <w:rFonts w:ascii="Tahoma" w:hAnsi="Tahoma" w:cs="Tahoma"/>
          <w:sz w:val="24"/>
          <w:szCs w:val="24"/>
          <w:lang w:val="en-GB"/>
        </w:rPr>
        <w:t>underrepresented</w:t>
      </w:r>
      <w:r w:rsidRPr="6CE01755" w:rsidR="00383FA4">
        <w:rPr>
          <w:rFonts w:ascii="Tahoma" w:hAnsi="Tahoma" w:cs="Tahoma"/>
          <w:sz w:val="24"/>
          <w:szCs w:val="24"/>
          <w:lang w:val="en-GB"/>
        </w:rPr>
        <w:t xml:space="preserve"> in our skilled trades </w:t>
      </w:r>
      <w:r w:rsidRPr="6CE01755" w:rsidR="002B5EB2">
        <w:rPr>
          <w:rFonts w:ascii="Tahoma" w:hAnsi="Tahoma" w:cs="Tahoma"/>
          <w:sz w:val="24"/>
          <w:szCs w:val="24"/>
          <w:lang w:val="en-GB"/>
        </w:rPr>
        <w:t>roles and</w:t>
      </w:r>
      <w:r w:rsidRPr="6CE01755" w:rsidR="00383FA4">
        <w:rPr>
          <w:rFonts w:ascii="Tahoma" w:hAnsi="Tahoma" w:cs="Tahoma"/>
          <w:sz w:val="24"/>
          <w:szCs w:val="24"/>
          <w:lang w:val="en-GB"/>
        </w:rPr>
        <w:t xml:space="preserve"> </w:t>
      </w:r>
      <w:r w:rsidRPr="6CE01755" w:rsidR="004E2181">
        <w:rPr>
          <w:rFonts w:ascii="Tahoma" w:hAnsi="Tahoma" w:cs="Tahoma"/>
          <w:sz w:val="24"/>
          <w:szCs w:val="24"/>
          <w:lang w:val="en-GB"/>
        </w:rPr>
        <w:t xml:space="preserve">we </w:t>
      </w:r>
      <w:r w:rsidRPr="6CE01755" w:rsidR="002B5EB2">
        <w:rPr>
          <w:rFonts w:ascii="Tahoma" w:hAnsi="Tahoma" w:cs="Tahoma"/>
          <w:sz w:val="24"/>
          <w:szCs w:val="24"/>
          <w:lang w:val="en-GB"/>
        </w:rPr>
        <w:t xml:space="preserve">continue to </w:t>
      </w:r>
      <w:r w:rsidRPr="6CE01755" w:rsidR="005235B7">
        <w:rPr>
          <w:rFonts w:ascii="Tahoma" w:hAnsi="Tahoma" w:cs="Tahoma"/>
          <w:sz w:val="24"/>
          <w:szCs w:val="24"/>
          <w:lang w:val="en-GB"/>
        </w:rPr>
        <w:t>review our advertising and recruitment methods</w:t>
      </w:r>
      <w:r w:rsidRPr="6CE01755" w:rsidR="002B5EB2">
        <w:rPr>
          <w:rFonts w:ascii="Tahoma" w:hAnsi="Tahoma" w:cs="Tahoma"/>
          <w:sz w:val="24"/>
          <w:szCs w:val="24"/>
          <w:lang w:val="en-GB"/>
        </w:rPr>
        <w:t xml:space="preserve"> to ensure they are </w:t>
      </w:r>
      <w:r w:rsidRPr="6CE01755" w:rsidR="002A345A">
        <w:rPr>
          <w:rFonts w:ascii="Tahoma" w:hAnsi="Tahoma" w:cs="Tahoma"/>
          <w:sz w:val="24"/>
          <w:szCs w:val="24"/>
          <w:lang w:val="en-GB"/>
        </w:rPr>
        <w:t xml:space="preserve">inclusive and </w:t>
      </w:r>
      <w:r w:rsidRPr="6CE01755" w:rsidR="002B5EB2">
        <w:rPr>
          <w:rFonts w:ascii="Tahoma" w:hAnsi="Tahoma" w:cs="Tahoma"/>
          <w:sz w:val="24"/>
          <w:szCs w:val="24"/>
          <w:lang w:val="en-GB"/>
        </w:rPr>
        <w:t>free from bias</w:t>
      </w:r>
      <w:r w:rsidRPr="6CE01755" w:rsidR="00383FA4">
        <w:rPr>
          <w:rFonts w:ascii="Tahoma" w:hAnsi="Tahoma" w:cs="Tahoma"/>
          <w:sz w:val="24"/>
          <w:szCs w:val="24"/>
          <w:lang w:val="en-GB"/>
        </w:rPr>
        <w:t xml:space="preserve">. </w:t>
      </w:r>
      <w:r w:rsidRPr="6CE01755" w:rsidR="00386C31">
        <w:rPr>
          <w:rFonts w:ascii="Tahoma" w:hAnsi="Tahoma" w:cs="Tahoma"/>
          <w:sz w:val="24"/>
          <w:szCs w:val="24"/>
          <w:lang w:val="en-GB"/>
        </w:rPr>
        <w:t xml:space="preserve">  </w:t>
      </w:r>
      <w:r w:rsidRPr="6CE01755" w:rsidR="002B5EB2">
        <w:rPr>
          <w:rFonts w:ascii="Tahoma" w:hAnsi="Tahoma" w:cs="Tahoma"/>
          <w:sz w:val="24"/>
          <w:szCs w:val="24"/>
          <w:lang w:val="en-GB"/>
        </w:rPr>
        <w:t>However, data shows that this is a national issue</w:t>
      </w:r>
      <w:r w:rsidRPr="6CE01755" w:rsidR="00891487">
        <w:rPr>
          <w:rFonts w:ascii="Tahoma" w:hAnsi="Tahoma" w:cs="Tahoma"/>
          <w:sz w:val="24"/>
          <w:szCs w:val="24"/>
          <w:lang w:val="en-GB"/>
        </w:rPr>
        <w:t xml:space="preserve"> - only 2.9% of skilled trade professionals are </w:t>
      </w:r>
      <w:r w:rsidRPr="6CE01755" w:rsidR="00DA4FAD">
        <w:rPr>
          <w:rFonts w:ascii="Tahoma" w:hAnsi="Tahoma" w:cs="Tahoma"/>
          <w:sz w:val="24"/>
          <w:szCs w:val="24"/>
          <w:lang w:val="en-GB"/>
        </w:rPr>
        <w:t xml:space="preserve">female.  </w:t>
      </w:r>
      <w:r w:rsidRPr="6CE01755" w:rsidR="00891487">
        <w:rPr>
          <w:rFonts w:ascii="Tahoma" w:hAnsi="Tahoma" w:cs="Tahoma"/>
          <w:sz w:val="24"/>
          <w:szCs w:val="24"/>
          <w:lang w:val="en-GB"/>
        </w:rPr>
        <w:t>(</w:t>
      </w:r>
      <w:hyperlink r:id="rId11">
        <w:r w:rsidRPr="6CE01755" w:rsidR="00891487">
          <w:rPr>
            <w:rStyle w:val="Hyperlink"/>
            <w:rFonts w:ascii="Tahoma" w:hAnsi="Tahoma" w:cs="Tahoma"/>
            <w:sz w:val="24"/>
            <w:szCs w:val="24"/>
            <w:lang w:val="en-GB"/>
          </w:rPr>
          <w:t>NOMIS</w:t>
        </w:r>
      </w:hyperlink>
      <w:r w:rsidRPr="6CE01755" w:rsidR="007E13A3">
        <w:rPr>
          <w:rFonts w:ascii="Tahoma" w:hAnsi="Tahoma" w:cs="Tahoma"/>
          <w:sz w:val="24"/>
          <w:szCs w:val="24"/>
          <w:lang w:val="en-GB"/>
        </w:rPr>
        <w:t xml:space="preserve">, </w:t>
      </w:r>
      <w:hyperlink r:id="rId12">
        <w:r w:rsidRPr="6CE01755" w:rsidR="007E13A3">
          <w:rPr>
            <w:rStyle w:val="Hyperlink"/>
            <w:rFonts w:ascii="Tahoma" w:hAnsi="Tahoma" w:cs="Tahoma"/>
            <w:sz w:val="24"/>
            <w:szCs w:val="24"/>
            <w:lang w:val="en-GB"/>
          </w:rPr>
          <w:t>Women and the UK economy - House of Commons Library</w:t>
        </w:r>
      </w:hyperlink>
      <w:r w:rsidRPr="6CE01755" w:rsidR="00891487">
        <w:rPr>
          <w:rFonts w:ascii="Tahoma" w:hAnsi="Tahoma" w:cs="Tahoma"/>
          <w:sz w:val="24"/>
          <w:szCs w:val="24"/>
          <w:lang w:val="en-GB"/>
        </w:rPr>
        <w:t xml:space="preserve">).   </w:t>
      </w:r>
      <w:r w:rsidRPr="6CE01755" w:rsidR="00DA4FAD">
        <w:rPr>
          <w:rFonts w:ascii="Tahoma" w:hAnsi="Tahoma" w:cs="Tahoma"/>
          <w:sz w:val="24"/>
          <w:szCs w:val="24"/>
          <w:lang w:val="en-GB"/>
        </w:rPr>
        <w:t xml:space="preserve">This is known as </w:t>
      </w:r>
      <w:r w:rsidRPr="6CE01755" w:rsidR="00CF4396">
        <w:rPr>
          <w:rFonts w:ascii="Tahoma" w:hAnsi="Tahoma" w:cs="Tahoma"/>
          <w:sz w:val="24"/>
          <w:szCs w:val="24"/>
          <w:lang w:val="en-GB"/>
        </w:rPr>
        <w:t>occupational segregation and is a major driver of gender pay gaps and workforce imbalance.</w:t>
      </w:r>
    </w:p>
    <w:p w:rsidRPr="00CF4396" w:rsidR="00067B0B" w:rsidP="005E1DDC" w:rsidRDefault="00067B0B" w14:paraId="52C7D930" w14:textId="77777777">
      <w:pPr>
        <w:spacing w:after="0"/>
        <w:jc w:val="both"/>
        <w:rPr>
          <w:rFonts w:ascii="Tahoma" w:hAnsi="Tahoma" w:eastAsia="Times New Roman" w:cs="Tahoma"/>
          <w:b/>
          <w:bCs/>
          <w:color w:val="012169"/>
          <w:sz w:val="24"/>
          <w:szCs w:val="24"/>
          <w:lang w:val="en-GB"/>
        </w:rPr>
      </w:pPr>
    </w:p>
    <w:p w:rsidRPr="00CF4396" w:rsidR="00105565" w:rsidP="0091644C" w:rsidRDefault="00891487" w14:paraId="36A7A518" w14:textId="3BCF6459">
      <w:pPr>
        <w:spacing w:after="0" w:line="288" w:lineRule="auto"/>
        <w:jc w:val="both"/>
        <w:rPr>
          <w:rFonts w:ascii="Tahoma" w:hAnsi="Tahoma" w:eastAsia="Times New Roman" w:cs="Tahoma"/>
          <w:sz w:val="24"/>
          <w:szCs w:val="24"/>
          <w:lang w:val="en-GB"/>
        </w:rPr>
      </w:pPr>
      <w:r w:rsidRPr="00CF4396">
        <w:rPr>
          <w:rFonts w:ascii="Tahoma" w:hAnsi="Tahoma" w:eastAsia="Times New Roman" w:cs="Tahoma"/>
          <w:sz w:val="24"/>
          <w:szCs w:val="24"/>
          <w:lang w:val="en-GB"/>
        </w:rPr>
        <w:t xml:space="preserve">We </w:t>
      </w:r>
      <w:r w:rsidRPr="00CF4396" w:rsidR="00505F01">
        <w:rPr>
          <w:rFonts w:ascii="Tahoma" w:hAnsi="Tahoma" w:eastAsia="Times New Roman" w:cs="Tahoma"/>
          <w:sz w:val="24"/>
          <w:szCs w:val="24"/>
          <w:lang w:val="en-GB"/>
        </w:rPr>
        <w:t xml:space="preserve">continue to deliver training and promote awareness of the differences within our community and encourage our colleagues to educate themselves and each other.   </w:t>
      </w:r>
    </w:p>
    <w:p w:rsidRPr="00CF4396" w:rsidR="00105565" w:rsidP="0091644C" w:rsidRDefault="00105565" w14:paraId="28514F74" w14:textId="77777777">
      <w:pPr>
        <w:spacing w:after="0" w:line="288" w:lineRule="auto"/>
        <w:jc w:val="both"/>
        <w:rPr>
          <w:rFonts w:ascii="Tahoma" w:hAnsi="Tahoma" w:eastAsia="Times New Roman" w:cs="Tahoma"/>
          <w:sz w:val="24"/>
          <w:szCs w:val="24"/>
          <w:lang w:val="en-GB"/>
        </w:rPr>
      </w:pPr>
    </w:p>
    <w:p w:rsidR="003D1F0B" w:rsidP="0091644C" w:rsidRDefault="00505F01" w14:paraId="6C6BBFF0" w14:textId="77777777">
      <w:pPr>
        <w:spacing w:after="0" w:line="288" w:lineRule="auto"/>
        <w:jc w:val="both"/>
        <w:rPr>
          <w:rFonts w:ascii="Tahoma" w:hAnsi="Tahoma" w:eastAsia="Times New Roman" w:cs="Tahoma"/>
          <w:sz w:val="24"/>
          <w:szCs w:val="24"/>
          <w:lang w:val="en-GB"/>
        </w:rPr>
      </w:pPr>
      <w:r w:rsidRPr="00CF4396">
        <w:rPr>
          <w:rFonts w:ascii="Tahoma" w:hAnsi="Tahoma" w:eastAsia="Times New Roman" w:cs="Tahoma"/>
          <w:sz w:val="24"/>
          <w:szCs w:val="24"/>
          <w:lang w:val="en-GB"/>
        </w:rPr>
        <w:t xml:space="preserve">We offer </w:t>
      </w:r>
      <w:r w:rsidRPr="00CF4396" w:rsidR="00891487">
        <w:rPr>
          <w:rFonts w:ascii="Tahoma" w:hAnsi="Tahoma" w:eastAsia="Times New Roman" w:cs="Tahoma"/>
          <w:sz w:val="24"/>
          <w:szCs w:val="24"/>
          <w:lang w:val="en-GB"/>
        </w:rPr>
        <w:t>a wide range of</w:t>
      </w:r>
      <w:r w:rsidRPr="00CF4396">
        <w:rPr>
          <w:rFonts w:ascii="Tahoma" w:hAnsi="Tahoma" w:eastAsia="Times New Roman" w:cs="Tahoma"/>
          <w:sz w:val="24"/>
          <w:szCs w:val="24"/>
          <w:lang w:val="en-GB"/>
        </w:rPr>
        <w:t xml:space="preserve"> benefits which aim to support our colleagues and attract a wide range of job applicants, including</w:t>
      </w:r>
      <w:r w:rsidRPr="00CF4396" w:rsidR="00891487">
        <w:rPr>
          <w:rFonts w:ascii="Tahoma" w:hAnsi="Tahoma" w:eastAsia="Times New Roman" w:cs="Tahoma"/>
          <w:sz w:val="24"/>
          <w:szCs w:val="24"/>
          <w:lang w:val="en-GB"/>
        </w:rPr>
        <w:t xml:space="preserve"> family friendly initiatives</w:t>
      </w:r>
      <w:r w:rsidRPr="00CF4396">
        <w:rPr>
          <w:rFonts w:ascii="Tahoma" w:hAnsi="Tahoma" w:eastAsia="Times New Roman" w:cs="Tahoma"/>
          <w:sz w:val="24"/>
          <w:szCs w:val="24"/>
          <w:lang w:val="en-GB"/>
        </w:rPr>
        <w:t>, health and wellbeing support</w:t>
      </w:r>
      <w:r w:rsidRPr="00CF4396" w:rsidR="00105565">
        <w:rPr>
          <w:rFonts w:ascii="Tahoma" w:hAnsi="Tahoma" w:eastAsia="Times New Roman" w:cs="Tahoma"/>
          <w:sz w:val="24"/>
          <w:szCs w:val="24"/>
          <w:lang w:val="en-GB"/>
        </w:rPr>
        <w:t>, support for carers</w:t>
      </w:r>
      <w:r w:rsidRPr="00CF4396">
        <w:rPr>
          <w:rFonts w:ascii="Tahoma" w:hAnsi="Tahoma" w:eastAsia="Times New Roman" w:cs="Tahoma"/>
          <w:sz w:val="24"/>
          <w:szCs w:val="24"/>
          <w:lang w:val="en-GB"/>
        </w:rPr>
        <w:t xml:space="preserve"> and flexib</w:t>
      </w:r>
      <w:r w:rsidRPr="00CF4396" w:rsidR="00C97CB4">
        <w:rPr>
          <w:rFonts w:ascii="Tahoma" w:hAnsi="Tahoma" w:eastAsia="Times New Roman" w:cs="Tahoma"/>
          <w:sz w:val="24"/>
          <w:szCs w:val="24"/>
          <w:lang w:val="en-GB"/>
        </w:rPr>
        <w:t>le working options where the role allows</w:t>
      </w:r>
      <w:r w:rsidRPr="00CF4396">
        <w:rPr>
          <w:rFonts w:ascii="Tahoma" w:hAnsi="Tahoma" w:eastAsia="Times New Roman" w:cs="Tahoma"/>
          <w:sz w:val="24"/>
          <w:szCs w:val="24"/>
          <w:lang w:val="en-GB"/>
        </w:rPr>
        <w:t xml:space="preserve">. </w:t>
      </w:r>
    </w:p>
    <w:p w:rsidR="003D1F0B" w:rsidP="0091644C" w:rsidRDefault="003D1F0B" w14:paraId="6990F519" w14:textId="77777777">
      <w:pPr>
        <w:spacing w:after="0" w:line="288" w:lineRule="auto"/>
        <w:jc w:val="both"/>
        <w:rPr>
          <w:rFonts w:ascii="Tahoma" w:hAnsi="Tahoma" w:eastAsia="Times New Roman" w:cs="Tahoma"/>
          <w:sz w:val="24"/>
          <w:szCs w:val="24"/>
          <w:lang w:val="en-GB"/>
        </w:rPr>
      </w:pPr>
    </w:p>
    <w:p w:rsidRPr="00CF4396" w:rsidR="0091644C" w:rsidP="0091644C" w:rsidRDefault="0091644C" w14:paraId="515DD0B5" w14:textId="7CAF3BAA">
      <w:pPr>
        <w:spacing w:after="0" w:line="288" w:lineRule="auto"/>
        <w:jc w:val="both"/>
        <w:rPr>
          <w:rFonts w:ascii="Tahoma" w:hAnsi="Tahoma" w:eastAsia="Times New Roman" w:cs="Tahoma"/>
          <w:sz w:val="24"/>
          <w:szCs w:val="24"/>
          <w:lang w:val="en-GB"/>
        </w:rPr>
      </w:pPr>
      <w:r w:rsidRPr="00CF4396">
        <w:rPr>
          <w:rFonts w:ascii="Tahoma" w:hAnsi="Tahoma" w:eastAsia="Times New Roman" w:cs="Tahoma"/>
          <w:sz w:val="24"/>
          <w:szCs w:val="24"/>
          <w:lang w:val="en-GB"/>
        </w:rPr>
        <w:t xml:space="preserve">We continue to carry out internal and external salary benchmarking ahead of recruiting for roles at CGA, and salaries are based on the role that is being undertaken, regardless of whether the role is carried out by a male or a female colleague. </w:t>
      </w:r>
      <w:r w:rsidRPr="00CF4396" w:rsidR="00C97CB4">
        <w:rPr>
          <w:rFonts w:ascii="Tahoma" w:hAnsi="Tahoma" w:eastAsia="Times New Roman" w:cs="Tahoma"/>
          <w:sz w:val="24"/>
          <w:szCs w:val="24"/>
          <w:lang w:val="en-GB"/>
        </w:rPr>
        <w:t xml:space="preserve"> </w:t>
      </w:r>
      <w:r w:rsidRPr="00CF4396">
        <w:rPr>
          <w:rFonts w:ascii="Tahoma" w:hAnsi="Tahoma" w:eastAsia="Times New Roman" w:cs="Tahoma"/>
          <w:sz w:val="24"/>
          <w:szCs w:val="24"/>
          <w:lang w:val="en-GB"/>
        </w:rPr>
        <w:t>All our job adverts include salary and benefits information, as well as details of our terms and conditions</w:t>
      </w:r>
      <w:r w:rsidRPr="00CF4396" w:rsidR="00C97CB4">
        <w:rPr>
          <w:rFonts w:ascii="Tahoma" w:hAnsi="Tahoma" w:eastAsia="Times New Roman" w:cs="Tahoma"/>
          <w:sz w:val="24"/>
          <w:szCs w:val="24"/>
          <w:lang w:val="en-GB"/>
        </w:rPr>
        <w:t xml:space="preserve"> and benefits</w:t>
      </w:r>
      <w:r w:rsidRPr="00CF4396">
        <w:rPr>
          <w:rFonts w:ascii="Tahoma" w:hAnsi="Tahoma" w:eastAsia="Times New Roman" w:cs="Tahoma"/>
          <w:sz w:val="24"/>
          <w:szCs w:val="24"/>
          <w:lang w:val="en-GB"/>
        </w:rPr>
        <w:t xml:space="preserve">. </w:t>
      </w:r>
    </w:p>
    <w:p w:rsidRPr="00CF4396" w:rsidR="00891487" w:rsidP="00891487" w:rsidRDefault="00891487" w14:paraId="7A71ED41" w14:textId="77777777">
      <w:pPr>
        <w:spacing w:after="0"/>
        <w:jc w:val="both"/>
        <w:rPr>
          <w:rFonts w:ascii="Tahoma" w:hAnsi="Tahoma" w:cs="Tahoma"/>
          <w:sz w:val="24"/>
          <w:szCs w:val="24"/>
          <w:lang w:val="en-GB"/>
        </w:rPr>
      </w:pPr>
    </w:p>
    <w:p w:rsidRPr="00CF4396" w:rsidR="00891487" w:rsidP="00891487" w:rsidRDefault="00891487" w14:paraId="7FA7CC2C" w14:textId="5BC7A9D4">
      <w:pPr>
        <w:spacing w:after="0"/>
        <w:jc w:val="both"/>
        <w:rPr>
          <w:rFonts w:ascii="Tahoma" w:hAnsi="Tahoma" w:cs="Tahoma"/>
          <w:sz w:val="24"/>
          <w:szCs w:val="24"/>
          <w:lang w:val="en-GB"/>
        </w:rPr>
      </w:pPr>
      <w:r w:rsidRPr="00CF4396">
        <w:rPr>
          <w:rFonts w:ascii="Tahoma" w:hAnsi="Tahoma" w:cs="Tahoma"/>
          <w:sz w:val="24"/>
          <w:szCs w:val="24"/>
          <w:lang w:val="en-GB"/>
        </w:rPr>
        <w:t xml:space="preserve">Ultimately, we recognise the contribution of all our people and the importance </w:t>
      </w:r>
      <w:r w:rsidRPr="00CF4396" w:rsidR="00505F01">
        <w:rPr>
          <w:rFonts w:ascii="Tahoma" w:hAnsi="Tahoma" w:cs="Tahoma"/>
          <w:sz w:val="24"/>
          <w:szCs w:val="24"/>
          <w:lang w:val="en-GB"/>
        </w:rPr>
        <w:t>that</w:t>
      </w:r>
      <w:r w:rsidRPr="00CF4396">
        <w:rPr>
          <w:rFonts w:ascii="Tahoma" w:hAnsi="Tahoma" w:cs="Tahoma"/>
          <w:sz w:val="24"/>
          <w:szCs w:val="24"/>
          <w:lang w:val="en-GB"/>
        </w:rPr>
        <w:t xml:space="preserve"> </w:t>
      </w:r>
      <w:r w:rsidRPr="00CF4396" w:rsidR="00505F01">
        <w:rPr>
          <w:rFonts w:ascii="Tahoma" w:hAnsi="Tahoma" w:cs="Tahoma"/>
          <w:sz w:val="24"/>
          <w:szCs w:val="24"/>
          <w:lang w:val="en-GB"/>
        </w:rPr>
        <w:t>feeling safe, respected and valued plays</w:t>
      </w:r>
      <w:r w:rsidRPr="00CF4396">
        <w:rPr>
          <w:rFonts w:ascii="Tahoma" w:hAnsi="Tahoma" w:cs="Tahoma"/>
          <w:sz w:val="24"/>
          <w:szCs w:val="24"/>
          <w:lang w:val="en-GB"/>
        </w:rPr>
        <w:t xml:space="preserve"> being able to deliver the very highest levels of customer service to our tenants.</w:t>
      </w:r>
    </w:p>
    <w:p w:rsidRPr="00CF4396" w:rsidR="00CF1925" w:rsidRDefault="00CF1925" w14:paraId="5EE95B0D" w14:textId="7D2F037B">
      <w:pPr>
        <w:rPr>
          <w:rFonts w:ascii="Tahoma" w:hAnsi="Tahoma" w:cs="Tahoma"/>
          <w:b/>
          <w:bCs/>
          <w:color w:val="012169"/>
          <w:sz w:val="24"/>
          <w:szCs w:val="24"/>
          <w:lang w:val="en-GB"/>
        </w:rPr>
      </w:pPr>
    </w:p>
    <w:p w:rsidRPr="00CF4396" w:rsidR="0091644C" w:rsidP="005E1DDC" w:rsidRDefault="0091644C" w14:paraId="0C0ADC63" w14:textId="67FC8E3B">
      <w:pPr>
        <w:spacing w:after="0"/>
        <w:jc w:val="both"/>
        <w:rPr>
          <w:rFonts w:ascii="Tahoma" w:hAnsi="Tahoma" w:cs="Tahoma"/>
          <w:b/>
          <w:bCs/>
          <w:color w:val="012169"/>
          <w:sz w:val="24"/>
          <w:szCs w:val="24"/>
          <w:lang w:val="en-GB"/>
        </w:rPr>
      </w:pPr>
      <w:r w:rsidRPr="00CF4396">
        <w:rPr>
          <w:rFonts w:ascii="Tahoma" w:hAnsi="Tahoma" w:cs="Tahoma"/>
          <w:b/>
          <w:bCs/>
          <w:color w:val="012169"/>
          <w:sz w:val="24"/>
          <w:szCs w:val="24"/>
          <w:lang w:val="en-GB"/>
        </w:rPr>
        <w:t>Notes</w:t>
      </w:r>
    </w:p>
    <w:p w:rsidRPr="00CF4396" w:rsidR="00806151" w:rsidP="0091644C" w:rsidRDefault="005E1DDC" w14:paraId="209032A3" w14:textId="34518EE1">
      <w:pPr>
        <w:pStyle w:val="ListParagraph"/>
        <w:numPr>
          <w:ilvl w:val="0"/>
          <w:numId w:val="1"/>
        </w:numPr>
        <w:spacing w:after="0"/>
        <w:ind w:left="360"/>
        <w:jc w:val="both"/>
        <w:rPr>
          <w:rFonts w:ascii="Tahoma" w:hAnsi="Tahoma" w:cs="Tahoma"/>
          <w:sz w:val="24"/>
          <w:szCs w:val="24"/>
          <w:lang w:val="en-GB"/>
        </w:rPr>
      </w:pPr>
      <w:r w:rsidRPr="00CF4396">
        <w:rPr>
          <w:rFonts w:ascii="Tahoma" w:hAnsi="Tahoma" w:cs="Tahoma"/>
          <w:sz w:val="24"/>
          <w:szCs w:val="24"/>
          <w:lang w:val="en-GB"/>
        </w:rPr>
        <w:t>We confirm that our gender pay gap data calculations are accurate and meet the requirements of the Regulations.</w:t>
      </w:r>
    </w:p>
    <w:p w:rsidRPr="00CF4396" w:rsidR="00816915" w:rsidP="0091644C" w:rsidRDefault="00816915" w14:paraId="37E30CC1" w14:textId="1C6D18BD">
      <w:pPr>
        <w:spacing w:after="0"/>
        <w:jc w:val="both"/>
        <w:rPr>
          <w:rFonts w:ascii="Tahoma" w:hAnsi="Tahoma" w:cs="Tahoma"/>
          <w:sz w:val="24"/>
          <w:szCs w:val="24"/>
          <w:lang w:val="en-GB"/>
        </w:rPr>
      </w:pPr>
    </w:p>
    <w:p w:rsidRPr="00CF4396" w:rsidR="00816915" w:rsidP="0091644C" w:rsidRDefault="00816915" w14:paraId="77E8E491" w14:textId="53C6E8FA">
      <w:pPr>
        <w:pStyle w:val="ListParagraph"/>
        <w:numPr>
          <w:ilvl w:val="0"/>
          <w:numId w:val="1"/>
        </w:numPr>
        <w:spacing w:after="0"/>
        <w:ind w:left="360"/>
        <w:jc w:val="both"/>
        <w:rPr>
          <w:rFonts w:ascii="Tahoma" w:hAnsi="Tahoma" w:cs="Tahoma"/>
          <w:sz w:val="24"/>
          <w:szCs w:val="24"/>
          <w:lang w:val="en-GB"/>
        </w:rPr>
      </w:pPr>
      <w:r w:rsidRPr="00CF4396">
        <w:rPr>
          <w:rFonts w:ascii="Tahoma" w:hAnsi="Tahoma" w:cs="Tahoma"/>
          <w:sz w:val="24"/>
          <w:szCs w:val="24"/>
          <w:lang w:val="en-GB"/>
        </w:rPr>
        <w:t>We recognise that</w:t>
      </w:r>
      <w:r w:rsidRPr="00CF4396" w:rsidR="00891487">
        <w:rPr>
          <w:rFonts w:ascii="Tahoma" w:hAnsi="Tahoma" w:cs="Tahoma"/>
          <w:sz w:val="24"/>
          <w:szCs w:val="24"/>
          <w:lang w:val="en-GB"/>
        </w:rPr>
        <w:t xml:space="preserve"> for some </w:t>
      </w:r>
      <w:r w:rsidRPr="00CF4396">
        <w:rPr>
          <w:rFonts w:ascii="Tahoma" w:hAnsi="Tahoma" w:cs="Tahoma"/>
          <w:sz w:val="24"/>
          <w:szCs w:val="24"/>
          <w:lang w:val="en-GB"/>
        </w:rPr>
        <w:t>people, gender does not simply refer to male and female. For the purposes of this report, however, our gender pay gap is calculated using the approach required by the regulations.</w:t>
      </w:r>
    </w:p>
    <w:p w:rsidRPr="00CF4396" w:rsidR="00C97CB4" w:rsidP="00C97CB4" w:rsidRDefault="00C97CB4" w14:paraId="590F56F8" w14:textId="77777777">
      <w:pPr>
        <w:pStyle w:val="ListParagraph"/>
        <w:rPr>
          <w:rFonts w:ascii="Tahoma" w:hAnsi="Tahoma" w:cs="Tahoma"/>
          <w:sz w:val="24"/>
          <w:szCs w:val="24"/>
          <w:lang w:val="en-GB"/>
        </w:rPr>
      </w:pPr>
    </w:p>
    <w:p w:rsidRPr="00CF4396" w:rsidR="00C97CB4" w:rsidP="00C97CB4" w:rsidRDefault="00C97CB4" w14:paraId="10319434" w14:textId="66C3C18D">
      <w:pPr>
        <w:spacing w:after="0"/>
        <w:jc w:val="both"/>
        <w:rPr>
          <w:rFonts w:ascii="Tahoma" w:hAnsi="Tahoma" w:cs="Tahoma"/>
          <w:i/>
          <w:iCs/>
          <w:sz w:val="24"/>
          <w:szCs w:val="24"/>
          <w:lang w:val="en-GB"/>
        </w:rPr>
      </w:pPr>
      <w:r w:rsidRPr="00CF4396">
        <w:rPr>
          <w:rFonts w:ascii="Tahoma" w:hAnsi="Tahoma" w:cs="Tahoma"/>
          <w:i/>
          <w:iCs/>
          <w:sz w:val="24"/>
          <w:szCs w:val="24"/>
          <w:lang w:val="en-GB"/>
        </w:rPr>
        <w:t>Caroline Parr</w:t>
      </w:r>
    </w:p>
    <w:p w:rsidRPr="00CF4396" w:rsidR="00C97CB4" w:rsidP="00C97CB4" w:rsidRDefault="00C97CB4" w14:paraId="39BCDBB5" w14:textId="0301BC38">
      <w:pPr>
        <w:spacing w:after="0"/>
        <w:jc w:val="both"/>
        <w:rPr>
          <w:rFonts w:ascii="Tahoma" w:hAnsi="Tahoma" w:cs="Tahoma"/>
          <w:i/>
          <w:iCs/>
          <w:sz w:val="24"/>
          <w:szCs w:val="24"/>
          <w:lang w:val="en-GB"/>
        </w:rPr>
      </w:pPr>
      <w:r w:rsidRPr="00CF4396">
        <w:rPr>
          <w:rFonts w:ascii="Tahoma" w:hAnsi="Tahoma" w:cs="Tahoma"/>
          <w:i/>
          <w:iCs/>
          <w:sz w:val="24"/>
          <w:szCs w:val="24"/>
          <w:lang w:val="en-GB"/>
        </w:rPr>
        <w:t>Head of Culture and Engagement</w:t>
      </w:r>
    </w:p>
    <w:p w:rsidRPr="00CF4396" w:rsidR="00816915" w:rsidP="005E1DDC" w:rsidRDefault="00816915" w14:paraId="1F10BED1" w14:textId="3C9584FD">
      <w:pPr>
        <w:spacing w:after="0"/>
        <w:jc w:val="both"/>
        <w:rPr>
          <w:rFonts w:ascii="Tahoma" w:hAnsi="Tahoma" w:cs="Tahoma"/>
          <w:sz w:val="24"/>
          <w:szCs w:val="24"/>
          <w:lang w:val="en-GB"/>
        </w:rPr>
      </w:pPr>
    </w:p>
    <w:p w:rsidRPr="00CF4396" w:rsidR="009920E8" w:rsidP="00383FA4" w:rsidRDefault="009920E8" w14:paraId="4D608192" w14:textId="77777777">
      <w:pPr>
        <w:jc w:val="both"/>
        <w:rPr>
          <w:rFonts w:ascii="Tahoma" w:hAnsi="Tahoma" w:cs="Tahoma"/>
          <w:sz w:val="24"/>
          <w:szCs w:val="24"/>
          <w:lang w:val="en-GB"/>
        </w:rPr>
      </w:pPr>
    </w:p>
    <w:sectPr w:rsidRPr="00CF4396" w:rsidR="009920E8" w:rsidSect="005273CF">
      <w:headerReference w:type="default" r:id="rId13"/>
      <w:footerReference w:type="default" r:id="rId14"/>
      <w:headerReference w:type="first" r:id="rId15"/>
      <w:footerReference w:type="first" r:id="rId16"/>
      <w:pgSz w:w="11906" w:h="16838" w:orient="portrait"/>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034" w:rsidP="005273CF" w:rsidRDefault="007B2034" w14:paraId="7EEB1D7C" w14:textId="77777777">
      <w:pPr>
        <w:spacing w:after="0" w:line="240" w:lineRule="auto"/>
      </w:pPr>
      <w:r>
        <w:separator/>
      </w:r>
    </w:p>
  </w:endnote>
  <w:endnote w:type="continuationSeparator" w:id="0">
    <w:p w:rsidR="007B2034" w:rsidP="005273CF" w:rsidRDefault="007B2034" w14:paraId="01E463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iol">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961581"/>
      <w:docPartObj>
        <w:docPartGallery w:val="Page Numbers (Top of Page)"/>
        <w:docPartUnique/>
      </w:docPartObj>
    </w:sdtPr>
    <w:sdtContent>
      <w:p w:rsidR="0091644C" w:rsidP="0091644C" w:rsidRDefault="0091644C" w14:paraId="0730CF96" w14:textId="77777777">
        <w:pPr>
          <w:pStyle w:val="Footer"/>
          <w:jc w:val="right"/>
        </w:pPr>
        <w:r w:rsidRPr="0091644C">
          <w:rPr>
            <w:rFonts w:ascii="Tahoma" w:hAnsi="Tahoma" w:cs="Tahoma"/>
            <w:sz w:val="20"/>
            <w:szCs w:val="20"/>
          </w:rPr>
          <w:t xml:space="preserve">Page </w:t>
        </w:r>
        <w:r w:rsidRPr="0091644C">
          <w:rPr>
            <w:rFonts w:ascii="Tahoma" w:hAnsi="Tahoma" w:cs="Tahoma"/>
            <w:b/>
            <w:bCs/>
            <w:sz w:val="20"/>
            <w:szCs w:val="20"/>
          </w:rPr>
          <w:fldChar w:fldCharType="begin"/>
        </w:r>
        <w:r w:rsidRPr="0091644C">
          <w:rPr>
            <w:rFonts w:ascii="Tahoma" w:hAnsi="Tahoma" w:cs="Tahoma"/>
            <w:b/>
            <w:bCs/>
            <w:sz w:val="20"/>
            <w:szCs w:val="20"/>
          </w:rPr>
          <w:instrText xml:space="preserve"> PAGE </w:instrText>
        </w:r>
        <w:r w:rsidRPr="0091644C">
          <w:rPr>
            <w:rFonts w:ascii="Tahoma" w:hAnsi="Tahoma" w:cs="Tahoma"/>
            <w:b/>
            <w:bCs/>
            <w:sz w:val="20"/>
            <w:szCs w:val="20"/>
          </w:rPr>
          <w:fldChar w:fldCharType="separate"/>
        </w:r>
        <w:r>
          <w:rPr>
            <w:rFonts w:ascii="Tahoma" w:hAnsi="Tahoma" w:cs="Tahoma"/>
            <w:b/>
            <w:bCs/>
            <w:sz w:val="20"/>
            <w:szCs w:val="20"/>
          </w:rPr>
          <w:t>1</w:t>
        </w:r>
        <w:r w:rsidRPr="0091644C">
          <w:rPr>
            <w:rFonts w:ascii="Tahoma" w:hAnsi="Tahoma" w:cs="Tahoma"/>
            <w:b/>
            <w:bCs/>
            <w:sz w:val="20"/>
            <w:szCs w:val="20"/>
          </w:rPr>
          <w:fldChar w:fldCharType="end"/>
        </w:r>
        <w:r w:rsidRPr="0091644C">
          <w:rPr>
            <w:rFonts w:ascii="Tahoma" w:hAnsi="Tahoma" w:cs="Tahoma"/>
            <w:sz w:val="20"/>
            <w:szCs w:val="20"/>
          </w:rPr>
          <w:t xml:space="preserve"> of </w:t>
        </w:r>
        <w:r w:rsidRPr="0091644C">
          <w:rPr>
            <w:rFonts w:ascii="Tahoma" w:hAnsi="Tahoma" w:cs="Tahoma"/>
            <w:b/>
            <w:bCs/>
            <w:sz w:val="20"/>
            <w:szCs w:val="20"/>
          </w:rPr>
          <w:fldChar w:fldCharType="begin"/>
        </w:r>
        <w:r w:rsidRPr="0091644C">
          <w:rPr>
            <w:rFonts w:ascii="Tahoma" w:hAnsi="Tahoma" w:cs="Tahoma"/>
            <w:b/>
            <w:bCs/>
            <w:sz w:val="20"/>
            <w:szCs w:val="20"/>
          </w:rPr>
          <w:instrText xml:space="preserve"> NUMPAGES  </w:instrText>
        </w:r>
        <w:r w:rsidRPr="0091644C">
          <w:rPr>
            <w:rFonts w:ascii="Tahoma" w:hAnsi="Tahoma" w:cs="Tahoma"/>
            <w:b/>
            <w:bCs/>
            <w:sz w:val="20"/>
            <w:szCs w:val="20"/>
          </w:rPr>
          <w:fldChar w:fldCharType="separate"/>
        </w:r>
        <w:r>
          <w:rPr>
            <w:rFonts w:ascii="Tahoma" w:hAnsi="Tahoma" w:cs="Tahoma"/>
            <w:b/>
            <w:bCs/>
            <w:sz w:val="20"/>
            <w:szCs w:val="20"/>
          </w:rPr>
          <w:t>2</w:t>
        </w:r>
        <w:r w:rsidRPr="0091644C">
          <w:rPr>
            <w:rFonts w:ascii="Tahoma" w:hAnsi="Tahoma" w:cs="Tahoma"/>
            <w:b/>
            <w:bCs/>
            <w:sz w:val="20"/>
            <w:szCs w:val="20"/>
          </w:rPr>
          <w:fldChar w:fldCharType="end"/>
        </w:r>
      </w:p>
    </w:sdtContent>
  </w:sdt>
  <w:p w:rsidR="0091644C" w:rsidRDefault="0091644C" w14:paraId="7DA2A4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745667"/>
      <w:docPartObj>
        <w:docPartGallery w:val="Page Numbers (Bottom of Page)"/>
        <w:docPartUnique/>
      </w:docPartObj>
    </w:sdtPr>
    <w:sdtContent>
      <w:sdt>
        <w:sdtPr>
          <w:id w:val="-1769616900"/>
          <w:docPartObj>
            <w:docPartGallery w:val="Page Numbers (Top of Page)"/>
            <w:docPartUnique/>
          </w:docPartObj>
        </w:sdtPr>
        <w:sdtContent>
          <w:p w:rsidR="0091644C" w:rsidRDefault="0091644C" w14:paraId="48C34335" w14:textId="7CF36616">
            <w:pPr>
              <w:pStyle w:val="Footer"/>
              <w:jc w:val="right"/>
            </w:pPr>
            <w:r w:rsidRPr="0091644C">
              <w:rPr>
                <w:rFonts w:ascii="Tahoma" w:hAnsi="Tahoma" w:cs="Tahoma"/>
                <w:sz w:val="20"/>
                <w:szCs w:val="20"/>
              </w:rPr>
              <w:t xml:space="preserve">Page </w:t>
            </w:r>
            <w:r w:rsidRPr="0091644C">
              <w:rPr>
                <w:rFonts w:ascii="Tahoma" w:hAnsi="Tahoma" w:cs="Tahoma"/>
                <w:b/>
                <w:bCs/>
                <w:sz w:val="20"/>
                <w:szCs w:val="20"/>
              </w:rPr>
              <w:fldChar w:fldCharType="begin"/>
            </w:r>
            <w:r w:rsidRPr="0091644C">
              <w:rPr>
                <w:rFonts w:ascii="Tahoma" w:hAnsi="Tahoma" w:cs="Tahoma"/>
                <w:b/>
                <w:bCs/>
                <w:sz w:val="20"/>
                <w:szCs w:val="20"/>
              </w:rPr>
              <w:instrText xml:space="preserve"> PAGE </w:instrText>
            </w:r>
            <w:r w:rsidRPr="0091644C">
              <w:rPr>
                <w:rFonts w:ascii="Tahoma" w:hAnsi="Tahoma" w:cs="Tahoma"/>
                <w:b/>
                <w:bCs/>
                <w:sz w:val="20"/>
                <w:szCs w:val="20"/>
              </w:rPr>
              <w:fldChar w:fldCharType="separate"/>
            </w:r>
            <w:r w:rsidRPr="0091644C">
              <w:rPr>
                <w:rFonts w:ascii="Tahoma" w:hAnsi="Tahoma" w:cs="Tahoma"/>
                <w:b/>
                <w:bCs/>
                <w:noProof/>
                <w:sz w:val="20"/>
                <w:szCs w:val="20"/>
              </w:rPr>
              <w:t>2</w:t>
            </w:r>
            <w:r w:rsidRPr="0091644C">
              <w:rPr>
                <w:rFonts w:ascii="Tahoma" w:hAnsi="Tahoma" w:cs="Tahoma"/>
                <w:b/>
                <w:bCs/>
                <w:sz w:val="20"/>
                <w:szCs w:val="20"/>
              </w:rPr>
              <w:fldChar w:fldCharType="end"/>
            </w:r>
            <w:r w:rsidRPr="0091644C">
              <w:rPr>
                <w:rFonts w:ascii="Tahoma" w:hAnsi="Tahoma" w:cs="Tahoma"/>
                <w:sz w:val="20"/>
                <w:szCs w:val="20"/>
              </w:rPr>
              <w:t xml:space="preserve"> of </w:t>
            </w:r>
            <w:r w:rsidRPr="0091644C">
              <w:rPr>
                <w:rFonts w:ascii="Tahoma" w:hAnsi="Tahoma" w:cs="Tahoma"/>
                <w:b/>
                <w:bCs/>
                <w:sz w:val="20"/>
                <w:szCs w:val="20"/>
              </w:rPr>
              <w:fldChar w:fldCharType="begin"/>
            </w:r>
            <w:r w:rsidRPr="0091644C">
              <w:rPr>
                <w:rFonts w:ascii="Tahoma" w:hAnsi="Tahoma" w:cs="Tahoma"/>
                <w:b/>
                <w:bCs/>
                <w:sz w:val="20"/>
                <w:szCs w:val="20"/>
              </w:rPr>
              <w:instrText xml:space="preserve"> NUMPAGES  </w:instrText>
            </w:r>
            <w:r w:rsidRPr="0091644C">
              <w:rPr>
                <w:rFonts w:ascii="Tahoma" w:hAnsi="Tahoma" w:cs="Tahoma"/>
                <w:b/>
                <w:bCs/>
                <w:sz w:val="20"/>
                <w:szCs w:val="20"/>
              </w:rPr>
              <w:fldChar w:fldCharType="separate"/>
            </w:r>
            <w:r w:rsidRPr="0091644C">
              <w:rPr>
                <w:rFonts w:ascii="Tahoma" w:hAnsi="Tahoma" w:cs="Tahoma"/>
                <w:b/>
                <w:bCs/>
                <w:noProof/>
                <w:sz w:val="20"/>
                <w:szCs w:val="20"/>
              </w:rPr>
              <w:t>2</w:t>
            </w:r>
            <w:r w:rsidRPr="0091644C">
              <w:rPr>
                <w:rFonts w:ascii="Tahoma" w:hAnsi="Tahoma" w:cs="Tahoma"/>
                <w:b/>
                <w:bCs/>
                <w:sz w:val="20"/>
                <w:szCs w:val="20"/>
              </w:rPr>
              <w:fldChar w:fldCharType="end"/>
            </w:r>
          </w:p>
        </w:sdtContent>
      </w:sdt>
    </w:sdtContent>
  </w:sdt>
  <w:p w:rsidR="0091644C" w:rsidRDefault="0091644C" w14:paraId="221E51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034" w:rsidP="005273CF" w:rsidRDefault="007B2034" w14:paraId="176E09E4" w14:textId="77777777">
      <w:pPr>
        <w:spacing w:after="0" w:line="240" w:lineRule="auto"/>
      </w:pPr>
      <w:r>
        <w:separator/>
      </w:r>
    </w:p>
  </w:footnote>
  <w:footnote w:type="continuationSeparator" w:id="0">
    <w:p w:rsidR="007B2034" w:rsidP="005273CF" w:rsidRDefault="007B2034" w14:paraId="493437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3CF" w:rsidP="005273CF" w:rsidRDefault="005273CF" w14:paraId="0E6B2290" w14:textId="1B5843CB">
    <w:pPr>
      <w:spacing w:after="0"/>
      <w:rPr>
        <w:rFonts w:ascii="Bariol" w:hAnsi="Bariol" w:eastAsia="Times New Roman" w:cs="Tahoma"/>
        <w:b/>
        <w:bCs/>
        <w:color w:val="012169"/>
        <w:sz w:val="40"/>
        <w:szCs w:val="40"/>
        <w:lang w:val="en-GB"/>
      </w:rPr>
    </w:pPr>
  </w:p>
  <w:p w:rsidR="005273CF" w:rsidRDefault="005273CF" w14:paraId="13F4513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D470D" w:rsidR="00BD470D" w:rsidP="00BD470D" w:rsidRDefault="00BD470D" w14:paraId="7A74545B" w14:textId="19E1AC6C">
    <w:pPr>
      <w:spacing w:after="0"/>
      <w:jc w:val="center"/>
      <w:rPr>
        <w:rFonts w:ascii="Bariol" w:hAnsi="Bariol" w:eastAsia="Times New Roman" w:cs="Tahoma"/>
        <w:b/>
        <w:bCs/>
        <w:color w:val="012169"/>
        <w:sz w:val="40"/>
        <w:szCs w:val="4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040D2D"/>
    <w:multiLevelType w:val="hybridMultilevel"/>
    <w:tmpl w:val="66F668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8506949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137"/>
    <w:rsid w:val="00040942"/>
    <w:rsid w:val="00043EFC"/>
    <w:rsid w:val="00067B0B"/>
    <w:rsid w:val="000941DB"/>
    <w:rsid w:val="000D2765"/>
    <w:rsid w:val="00105565"/>
    <w:rsid w:val="001516DF"/>
    <w:rsid w:val="00161FCF"/>
    <w:rsid w:val="001C41AC"/>
    <w:rsid w:val="001D0FE5"/>
    <w:rsid w:val="00215FC1"/>
    <w:rsid w:val="002231CC"/>
    <w:rsid w:val="00242368"/>
    <w:rsid w:val="0026714C"/>
    <w:rsid w:val="002A345A"/>
    <w:rsid w:val="002B5EB2"/>
    <w:rsid w:val="003201AE"/>
    <w:rsid w:val="00342FF1"/>
    <w:rsid w:val="0035295C"/>
    <w:rsid w:val="00383FA4"/>
    <w:rsid w:val="00386C31"/>
    <w:rsid w:val="003D1F0B"/>
    <w:rsid w:val="00454A6B"/>
    <w:rsid w:val="0046174F"/>
    <w:rsid w:val="004D0725"/>
    <w:rsid w:val="004E2181"/>
    <w:rsid w:val="00505F01"/>
    <w:rsid w:val="005235B7"/>
    <w:rsid w:val="005273CF"/>
    <w:rsid w:val="00534F98"/>
    <w:rsid w:val="00562176"/>
    <w:rsid w:val="00562C9B"/>
    <w:rsid w:val="00580E64"/>
    <w:rsid w:val="00585ED3"/>
    <w:rsid w:val="005E1DDC"/>
    <w:rsid w:val="005E76AD"/>
    <w:rsid w:val="00600C0B"/>
    <w:rsid w:val="00617F2D"/>
    <w:rsid w:val="00632579"/>
    <w:rsid w:val="00655358"/>
    <w:rsid w:val="00665AAD"/>
    <w:rsid w:val="006816FC"/>
    <w:rsid w:val="006B0584"/>
    <w:rsid w:val="006E14D6"/>
    <w:rsid w:val="006F4EE6"/>
    <w:rsid w:val="00707F91"/>
    <w:rsid w:val="0073543A"/>
    <w:rsid w:val="00735E6A"/>
    <w:rsid w:val="00744FD9"/>
    <w:rsid w:val="00786ABC"/>
    <w:rsid w:val="007908AB"/>
    <w:rsid w:val="00790ECA"/>
    <w:rsid w:val="0079387A"/>
    <w:rsid w:val="007B2034"/>
    <w:rsid w:val="007E13A3"/>
    <w:rsid w:val="00805E4C"/>
    <w:rsid w:val="00806151"/>
    <w:rsid w:val="00816915"/>
    <w:rsid w:val="0083741C"/>
    <w:rsid w:val="00855A28"/>
    <w:rsid w:val="00883FB4"/>
    <w:rsid w:val="00891487"/>
    <w:rsid w:val="008C437F"/>
    <w:rsid w:val="008E4691"/>
    <w:rsid w:val="00905787"/>
    <w:rsid w:val="0091644C"/>
    <w:rsid w:val="00934E05"/>
    <w:rsid w:val="00977276"/>
    <w:rsid w:val="00977341"/>
    <w:rsid w:val="00990948"/>
    <w:rsid w:val="0099101A"/>
    <w:rsid w:val="009920E8"/>
    <w:rsid w:val="009A5479"/>
    <w:rsid w:val="009B4421"/>
    <w:rsid w:val="009B6D42"/>
    <w:rsid w:val="009E1BF5"/>
    <w:rsid w:val="00A00E05"/>
    <w:rsid w:val="00A0312B"/>
    <w:rsid w:val="00A25DA3"/>
    <w:rsid w:val="00A63876"/>
    <w:rsid w:val="00A77FF0"/>
    <w:rsid w:val="00A8764F"/>
    <w:rsid w:val="00AB3137"/>
    <w:rsid w:val="00AC00A6"/>
    <w:rsid w:val="00AC7BAE"/>
    <w:rsid w:val="00B06E2C"/>
    <w:rsid w:val="00B147AB"/>
    <w:rsid w:val="00B20769"/>
    <w:rsid w:val="00B26F6E"/>
    <w:rsid w:val="00B27EC8"/>
    <w:rsid w:val="00B41771"/>
    <w:rsid w:val="00B57225"/>
    <w:rsid w:val="00B72D8A"/>
    <w:rsid w:val="00BD3F95"/>
    <w:rsid w:val="00BD470D"/>
    <w:rsid w:val="00C570C5"/>
    <w:rsid w:val="00C97CB4"/>
    <w:rsid w:val="00CF1925"/>
    <w:rsid w:val="00CF4396"/>
    <w:rsid w:val="00CF77A7"/>
    <w:rsid w:val="00D461A6"/>
    <w:rsid w:val="00D7426C"/>
    <w:rsid w:val="00DA4FAD"/>
    <w:rsid w:val="00DB1FDC"/>
    <w:rsid w:val="00DD1988"/>
    <w:rsid w:val="00DF17DD"/>
    <w:rsid w:val="00DF335D"/>
    <w:rsid w:val="00E06ABD"/>
    <w:rsid w:val="00E92C9C"/>
    <w:rsid w:val="00F048FA"/>
    <w:rsid w:val="00F10A8D"/>
    <w:rsid w:val="00F55384"/>
    <w:rsid w:val="00FC0025"/>
    <w:rsid w:val="00FD39AF"/>
    <w:rsid w:val="00FD4D16"/>
    <w:rsid w:val="00FE68EF"/>
    <w:rsid w:val="3A9DC711"/>
    <w:rsid w:val="3BA59CFE"/>
    <w:rsid w:val="4879CA90"/>
    <w:rsid w:val="4E98EE0C"/>
    <w:rsid w:val="51CE3B11"/>
    <w:rsid w:val="54542AFB"/>
    <w:rsid w:val="6B8D3F23"/>
    <w:rsid w:val="6CE01755"/>
    <w:rsid w:val="6D06D80A"/>
    <w:rsid w:val="75541673"/>
    <w:rsid w:val="77F9B9DC"/>
    <w:rsid w:val="7EBCA9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F9738"/>
  <w15:chartTrackingRefBased/>
  <w15:docId w15:val="{94CD9EC0-7EE2-425E-84D8-8240DD41DD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6151"/>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B3137"/>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lead" w:customStyle="1">
    <w:name w:val="lead"/>
    <w:basedOn w:val="Normal"/>
    <w:rsid w:val="00806151"/>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Header">
    <w:name w:val="header"/>
    <w:basedOn w:val="Normal"/>
    <w:link w:val="HeaderChar"/>
    <w:uiPriority w:val="99"/>
    <w:unhideWhenUsed/>
    <w:rsid w:val="005273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73CF"/>
    <w:rPr>
      <w:lang w:val="en-US"/>
    </w:rPr>
  </w:style>
  <w:style w:type="paragraph" w:styleId="Footer">
    <w:name w:val="footer"/>
    <w:basedOn w:val="Normal"/>
    <w:link w:val="FooterChar"/>
    <w:uiPriority w:val="99"/>
    <w:unhideWhenUsed/>
    <w:rsid w:val="005273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73CF"/>
    <w:rPr>
      <w:lang w:val="en-US"/>
    </w:rPr>
  </w:style>
  <w:style w:type="character" w:styleId="Hyperlink">
    <w:name w:val="Hyperlink"/>
    <w:basedOn w:val="DefaultParagraphFont"/>
    <w:uiPriority w:val="99"/>
    <w:unhideWhenUsed/>
    <w:rsid w:val="002B5EB2"/>
    <w:rPr>
      <w:color w:val="0000FF" w:themeColor="hyperlink"/>
      <w:u w:val="single"/>
    </w:rPr>
  </w:style>
  <w:style w:type="character" w:styleId="UnresolvedMention">
    <w:name w:val="Unresolved Mention"/>
    <w:basedOn w:val="DefaultParagraphFont"/>
    <w:uiPriority w:val="99"/>
    <w:semiHidden/>
    <w:unhideWhenUsed/>
    <w:rsid w:val="002B5EB2"/>
    <w:rPr>
      <w:color w:val="605E5C"/>
      <w:shd w:val="clear" w:color="auto" w:fill="E1DFDD"/>
    </w:rPr>
  </w:style>
  <w:style w:type="paragraph" w:styleId="ListParagraph">
    <w:name w:val="List Paragraph"/>
    <w:basedOn w:val="Normal"/>
    <w:uiPriority w:val="34"/>
    <w:qFormat/>
    <w:rsid w:val="0091644C"/>
    <w:pPr>
      <w:ind w:left="720"/>
      <w:contextualSpacing/>
    </w:pPr>
  </w:style>
  <w:style w:type="character" w:styleId="FollowedHyperlink">
    <w:name w:val="FollowedHyperlink"/>
    <w:basedOn w:val="DefaultParagraphFont"/>
    <w:uiPriority w:val="99"/>
    <w:semiHidden/>
    <w:unhideWhenUsed/>
    <w:rsid w:val="00B147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77501">
      <w:bodyDiv w:val="1"/>
      <w:marLeft w:val="0"/>
      <w:marRight w:val="0"/>
      <w:marTop w:val="0"/>
      <w:marBottom w:val="0"/>
      <w:divBdr>
        <w:top w:val="none" w:sz="0" w:space="0" w:color="auto"/>
        <w:left w:val="none" w:sz="0" w:space="0" w:color="auto"/>
        <w:bottom w:val="none" w:sz="0" w:space="0" w:color="auto"/>
        <w:right w:val="none" w:sz="0" w:space="0" w:color="auto"/>
      </w:divBdr>
    </w:div>
    <w:div w:id="480463060">
      <w:bodyDiv w:val="1"/>
      <w:marLeft w:val="0"/>
      <w:marRight w:val="0"/>
      <w:marTop w:val="0"/>
      <w:marBottom w:val="0"/>
      <w:divBdr>
        <w:top w:val="none" w:sz="0" w:space="0" w:color="auto"/>
        <w:left w:val="none" w:sz="0" w:space="0" w:color="auto"/>
        <w:bottom w:val="none" w:sz="0" w:space="0" w:color="auto"/>
        <w:right w:val="none" w:sz="0" w:space="0" w:color="auto"/>
      </w:divBdr>
    </w:div>
    <w:div w:id="1774088333">
      <w:bodyDiv w:val="1"/>
      <w:marLeft w:val="0"/>
      <w:marRight w:val="0"/>
      <w:marTop w:val="0"/>
      <w:marBottom w:val="0"/>
      <w:divBdr>
        <w:top w:val="none" w:sz="0" w:space="0" w:color="auto"/>
        <w:left w:val="none" w:sz="0" w:space="0" w:color="auto"/>
        <w:bottom w:val="none" w:sz="0" w:space="0" w:color="auto"/>
        <w:right w:val="none" w:sz="0" w:space="0" w:color="auto"/>
      </w:divBdr>
    </w:div>
    <w:div w:id="19429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ommonslibrary.parliament.uk/research-briefings/sn06838/"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omisweb.co.uk/datasets/aps218/reports/employment-by-occupation?compare=K02000001"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5484C75135147AD5AB988E238F3AC" ma:contentTypeVersion="12" ma:contentTypeDescription="Create a new document." ma:contentTypeScope="" ma:versionID="0e39660a3072087cb42552c6a334371b">
  <xsd:schema xmlns:xsd="http://www.w3.org/2001/XMLSchema" xmlns:xs="http://www.w3.org/2001/XMLSchema" xmlns:p="http://schemas.microsoft.com/office/2006/metadata/properties" xmlns:ns2="07e58e84-9a69-4364-b5f4-f18c638987b2" xmlns:ns3="78c20805-421e-4887-bc2d-b35801829a7b" targetNamespace="http://schemas.microsoft.com/office/2006/metadata/properties" ma:root="true" ma:fieldsID="012f7d6bc230074cbb274f2300c1852d" ns2:_="" ns3:_="">
    <xsd:import namespace="07e58e84-9a69-4364-b5f4-f18c638987b2"/>
    <xsd:import namespace="78c20805-421e-4887-bc2d-b35801829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58e84-9a69-4364-b5f4-f18c63898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87a811-7f5e-4bdd-8a42-f79baa33ea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20805-421e-4887-bc2d-b35801829a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5e6133-c769-4e77-912b-96881d9b4bea}" ma:internalName="TaxCatchAll" ma:showField="CatchAllData" ma:web="78c20805-421e-4887-bc2d-b35801829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58e84-9a69-4364-b5f4-f18c638987b2">
      <Terms xmlns="http://schemas.microsoft.com/office/infopath/2007/PartnerControls"/>
    </lcf76f155ced4ddcb4097134ff3c332f>
    <TaxCatchAll xmlns="78c20805-421e-4887-bc2d-b35801829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12F39-173E-4365-970A-E5836227F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58e84-9a69-4364-b5f4-f18c638987b2"/>
    <ds:schemaRef ds:uri="78c20805-421e-4887-bc2d-b35801829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B2D56-CCD4-4DFF-87F2-34A1ED796B30}">
  <ds:schemaRefs>
    <ds:schemaRef ds:uri="http://schemas.microsoft.com/office/2006/metadata/properties"/>
    <ds:schemaRef ds:uri="http://schemas.microsoft.com/office/infopath/2007/PartnerControls"/>
    <ds:schemaRef ds:uri="07e58e84-9a69-4364-b5f4-f18c638987b2"/>
    <ds:schemaRef ds:uri="78c20805-421e-4887-bc2d-b35801829a7b"/>
  </ds:schemaRefs>
</ds:datastoreItem>
</file>

<file path=customXml/itemProps3.xml><?xml version="1.0" encoding="utf-8"?>
<ds:datastoreItem xmlns:ds="http://schemas.openxmlformats.org/officeDocument/2006/customXml" ds:itemID="{465DE096-54E0-4CAB-81FB-418777ED5D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Community Gateway Association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Lewin</dc:creator>
  <keywords/>
  <dc:description/>
  <lastModifiedBy>Emma Clayton</lastModifiedBy>
  <revision>8</revision>
  <dcterms:created xsi:type="dcterms:W3CDTF">2026-05-26T12:13:00.0000000Z</dcterms:created>
  <dcterms:modified xsi:type="dcterms:W3CDTF">2026-05-26T12:17:02.1367201Z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0x010100C8E5484C75135147AD5AB988E238F3AC</vt:lpwstr>
  </property>
  <property fmtid="{D5CDD505-2E9C-101B-9397-08002B2CF9AE}" pid="3" name="Order">
    <vt:r8>28800</vt:r8>
  </property>
  <property fmtid="{D5CDD505-2E9C-101B-9397-08002B2CF9AE}" pid="4" name="MediaServiceImageTags">
    <vt:lpwstr/>
  </property>
</Properties>
</file>