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EB2D" w14:textId="20D3A821" w:rsidR="0031557A" w:rsidRDefault="0031557A" w:rsidP="0031557A">
      <w:pPr>
        <w:spacing w:after="0" w:line="288" w:lineRule="auto"/>
        <w:jc w:val="center"/>
        <w:rPr>
          <w:rFonts w:ascii="Tahoma" w:hAnsi="Tahoma" w:cs="Tahoma"/>
          <w:b/>
          <w:bCs/>
          <w:color w:val="012169"/>
          <w:sz w:val="24"/>
          <w:szCs w:val="24"/>
        </w:rPr>
      </w:pPr>
      <w:r>
        <w:rPr>
          <w:rFonts w:ascii="Tahoma" w:hAnsi="Tahoma" w:cs="Tahoma"/>
          <w:b/>
          <w:bCs/>
          <w:noProof/>
          <w:color w:val="012169"/>
          <w:sz w:val="24"/>
          <w:szCs w:val="24"/>
        </w:rPr>
        <w:drawing>
          <wp:anchor distT="0" distB="0" distL="114300" distR="114300" simplePos="0" relativeHeight="251658240" behindDoc="1" locked="0" layoutInCell="1" allowOverlap="1" wp14:anchorId="3A4F3D4C" wp14:editId="78EF6933">
            <wp:simplePos x="0" y="0"/>
            <wp:positionH relativeFrom="column">
              <wp:posOffset>5478592</wp:posOffset>
            </wp:positionH>
            <wp:positionV relativeFrom="paragraph">
              <wp:posOffset>-452921</wp:posOffset>
            </wp:positionV>
            <wp:extent cx="1589054" cy="739472"/>
            <wp:effectExtent l="0" t="0" r="0" b="0"/>
            <wp:wrapNone/>
            <wp:docPr id="873331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2571" cy="7411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195E4" w14:textId="28239A9E" w:rsidR="0031557A" w:rsidRDefault="0031557A" w:rsidP="0031557A">
      <w:pPr>
        <w:pBdr>
          <w:bottom w:val="single" w:sz="12" w:space="1" w:color="auto"/>
        </w:pBdr>
        <w:spacing w:after="0" w:line="288" w:lineRule="auto"/>
        <w:jc w:val="center"/>
        <w:rPr>
          <w:rFonts w:ascii="Bariol" w:hAnsi="Bariol" w:cs="Tahoma"/>
          <w:b/>
          <w:bCs/>
          <w:color w:val="012169"/>
          <w:sz w:val="36"/>
          <w:szCs w:val="36"/>
        </w:rPr>
      </w:pPr>
      <w:r w:rsidRPr="0031557A">
        <w:rPr>
          <w:rFonts w:ascii="Bariol" w:hAnsi="Bariol" w:cs="Tahoma"/>
          <w:b/>
          <w:bCs/>
          <w:color w:val="012169"/>
          <w:sz w:val="36"/>
          <w:szCs w:val="36"/>
        </w:rPr>
        <w:t>The Diversity of our Workforce (202</w:t>
      </w:r>
      <w:r>
        <w:rPr>
          <w:rFonts w:ascii="Bariol" w:hAnsi="Bariol" w:cs="Tahoma"/>
          <w:b/>
          <w:bCs/>
          <w:color w:val="012169"/>
          <w:sz w:val="36"/>
          <w:szCs w:val="36"/>
        </w:rPr>
        <w:t>5</w:t>
      </w:r>
      <w:r w:rsidRPr="0031557A">
        <w:rPr>
          <w:rFonts w:ascii="Bariol" w:hAnsi="Bariol" w:cs="Tahoma"/>
          <w:b/>
          <w:bCs/>
          <w:color w:val="012169"/>
          <w:sz w:val="36"/>
          <w:szCs w:val="36"/>
        </w:rPr>
        <w:t>/2</w:t>
      </w:r>
      <w:r>
        <w:rPr>
          <w:rFonts w:ascii="Bariol" w:hAnsi="Bariol" w:cs="Tahoma"/>
          <w:b/>
          <w:bCs/>
          <w:color w:val="012169"/>
          <w:sz w:val="36"/>
          <w:szCs w:val="36"/>
        </w:rPr>
        <w:t>6</w:t>
      </w:r>
      <w:r w:rsidRPr="0031557A">
        <w:rPr>
          <w:rFonts w:ascii="Bariol" w:hAnsi="Bariol" w:cs="Tahoma"/>
          <w:b/>
          <w:bCs/>
          <w:color w:val="012169"/>
          <w:sz w:val="36"/>
          <w:szCs w:val="36"/>
        </w:rPr>
        <w:t>)</w:t>
      </w:r>
    </w:p>
    <w:p w14:paraId="19E532E2" w14:textId="77777777" w:rsidR="0031557A" w:rsidRDefault="0031557A" w:rsidP="00FD390F">
      <w:pPr>
        <w:spacing w:after="0" w:line="288" w:lineRule="auto"/>
        <w:jc w:val="both"/>
        <w:rPr>
          <w:rFonts w:ascii="Bariol" w:hAnsi="Bariol" w:cs="Tahoma"/>
          <w:b/>
          <w:bCs/>
          <w:color w:val="012169"/>
          <w:sz w:val="36"/>
          <w:szCs w:val="36"/>
        </w:rPr>
      </w:pPr>
    </w:p>
    <w:p w14:paraId="08FD2A48" w14:textId="7C5311F7" w:rsidR="00E44352" w:rsidRPr="009C6727" w:rsidRDefault="00E44352" w:rsidP="00FD390F">
      <w:pPr>
        <w:spacing w:after="0" w:line="288" w:lineRule="auto"/>
        <w:jc w:val="both"/>
        <w:rPr>
          <w:rFonts w:ascii="Tahoma" w:hAnsi="Tahoma" w:cs="Tahoma"/>
          <w:b/>
          <w:bCs/>
          <w:color w:val="012169"/>
          <w:sz w:val="24"/>
          <w:szCs w:val="24"/>
        </w:rPr>
      </w:pPr>
      <w:r w:rsidRPr="009C6727">
        <w:rPr>
          <w:rFonts w:ascii="Tahoma" w:hAnsi="Tahoma" w:cs="Tahoma"/>
          <w:b/>
          <w:bCs/>
          <w:color w:val="012169"/>
          <w:sz w:val="24"/>
          <w:szCs w:val="24"/>
        </w:rPr>
        <w:t xml:space="preserve">Introduction </w:t>
      </w:r>
    </w:p>
    <w:p w14:paraId="6CE82994" w14:textId="77777777" w:rsidR="00F705BC" w:rsidRPr="009C6727" w:rsidRDefault="00F705BC" w:rsidP="00FD390F">
      <w:pPr>
        <w:spacing w:after="0" w:line="288" w:lineRule="auto"/>
        <w:jc w:val="both"/>
        <w:rPr>
          <w:rFonts w:ascii="Tahoma" w:hAnsi="Tahoma" w:cs="Tahoma"/>
          <w:sz w:val="24"/>
          <w:szCs w:val="24"/>
        </w:rPr>
      </w:pPr>
    </w:p>
    <w:p w14:paraId="7EAD7332" w14:textId="2692803B" w:rsidR="00E44352" w:rsidRPr="009C6727" w:rsidRDefault="001B78F7" w:rsidP="00FD390F">
      <w:pPr>
        <w:spacing w:after="0" w:line="288" w:lineRule="auto"/>
        <w:jc w:val="both"/>
        <w:rPr>
          <w:rFonts w:ascii="Tahoma" w:hAnsi="Tahoma" w:cs="Tahoma"/>
          <w:sz w:val="24"/>
          <w:szCs w:val="24"/>
        </w:rPr>
      </w:pPr>
      <w:r w:rsidRPr="009C6727">
        <w:rPr>
          <w:rFonts w:ascii="Tahoma" w:hAnsi="Tahoma" w:cs="Tahoma"/>
          <w:sz w:val="24"/>
          <w:szCs w:val="24"/>
        </w:rPr>
        <w:t>Equality, Diversity and Inclusion</w:t>
      </w:r>
      <w:r w:rsidR="00AA4A66" w:rsidRPr="009C6727">
        <w:rPr>
          <w:rFonts w:ascii="Tahoma" w:hAnsi="Tahoma" w:cs="Tahoma"/>
          <w:sz w:val="24"/>
          <w:szCs w:val="24"/>
        </w:rPr>
        <w:t xml:space="preserve"> (ED&amp;I)</w:t>
      </w:r>
      <w:r w:rsidR="001E23FA" w:rsidRPr="009C6727">
        <w:rPr>
          <w:rFonts w:ascii="Tahoma" w:hAnsi="Tahoma" w:cs="Tahoma"/>
          <w:sz w:val="24"/>
          <w:szCs w:val="24"/>
        </w:rPr>
        <w:t xml:space="preserve"> has </w:t>
      </w:r>
      <w:r w:rsidR="00453553" w:rsidRPr="009C6727">
        <w:rPr>
          <w:rFonts w:ascii="Tahoma" w:hAnsi="Tahoma" w:cs="Tahoma"/>
          <w:sz w:val="24"/>
          <w:szCs w:val="24"/>
        </w:rPr>
        <w:t>continue</w:t>
      </w:r>
      <w:r w:rsidR="001E23FA" w:rsidRPr="009C6727">
        <w:rPr>
          <w:rFonts w:ascii="Tahoma" w:hAnsi="Tahoma" w:cs="Tahoma"/>
          <w:sz w:val="24"/>
          <w:szCs w:val="24"/>
        </w:rPr>
        <w:t>d</w:t>
      </w:r>
      <w:r w:rsidR="00453553" w:rsidRPr="009C6727">
        <w:rPr>
          <w:rFonts w:ascii="Tahoma" w:hAnsi="Tahoma" w:cs="Tahoma"/>
          <w:sz w:val="24"/>
          <w:szCs w:val="24"/>
        </w:rPr>
        <w:t xml:space="preserve"> to be </w:t>
      </w:r>
      <w:r w:rsidR="00813362" w:rsidRPr="009C6727">
        <w:rPr>
          <w:rFonts w:ascii="Tahoma" w:hAnsi="Tahoma" w:cs="Tahoma"/>
          <w:sz w:val="24"/>
          <w:szCs w:val="24"/>
        </w:rPr>
        <w:t xml:space="preserve">a high priority for </w:t>
      </w:r>
      <w:r w:rsidR="00AB07AC" w:rsidRPr="009C6727">
        <w:rPr>
          <w:rFonts w:ascii="Tahoma" w:hAnsi="Tahoma" w:cs="Tahoma"/>
          <w:sz w:val="24"/>
          <w:szCs w:val="24"/>
        </w:rPr>
        <w:t>Community Gateway</w:t>
      </w:r>
      <w:r w:rsidR="00813362" w:rsidRPr="009C6727">
        <w:rPr>
          <w:rFonts w:ascii="Tahoma" w:hAnsi="Tahoma" w:cs="Tahoma"/>
          <w:sz w:val="24"/>
          <w:szCs w:val="24"/>
        </w:rPr>
        <w:t xml:space="preserve"> </w:t>
      </w:r>
      <w:r w:rsidR="001E23FA" w:rsidRPr="009C6727">
        <w:rPr>
          <w:rFonts w:ascii="Tahoma" w:hAnsi="Tahoma" w:cs="Tahoma"/>
          <w:sz w:val="24"/>
          <w:szCs w:val="24"/>
        </w:rPr>
        <w:t xml:space="preserve">as we have completed </w:t>
      </w:r>
      <w:r w:rsidR="00F705BC" w:rsidRPr="009C6727">
        <w:rPr>
          <w:rFonts w:ascii="Tahoma" w:hAnsi="Tahoma" w:cs="Tahoma"/>
          <w:sz w:val="24"/>
          <w:szCs w:val="24"/>
        </w:rPr>
        <w:t xml:space="preserve">the </w:t>
      </w:r>
      <w:r w:rsidR="003F046A" w:rsidRPr="009C6727">
        <w:rPr>
          <w:rFonts w:ascii="Tahoma" w:hAnsi="Tahoma" w:cs="Tahoma"/>
          <w:sz w:val="24"/>
          <w:szCs w:val="24"/>
        </w:rPr>
        <w:t>second</w:t>
      </w:r>
      <w:r w:rsidR="00F705BC" w:rsidRPr="009C6727">
        <w:rPr>
          <w:rFonts w:ascii="Tahoma" w:hAnsi="Tahoma" w:cs="Tahoma"/>
          <w:sz w:val="24"/>
          <w:szCs w:val="24"/>
        </w:rPr>
        <w:t xml:space="preserve"> year of our new corporate plan which spans 2024-2030.</w:t>
      </w:r>
    </w:p>
    <w:p w14:paraId="7B82C903" w14:textId="77777777" w:rsidR="00F705BC" w:rsidRPr="009C6727" w:rsidRDefault="00F705BC" w:rsidP="00FD390F">
      <w:pPr>
        <w:spacing w:after="0" w:line="288" w:lineRule="auto"/>
        <w:jc w:val="both"/>
        <w:rPr>
          <w:rFonts w:ascii="Tahoma" w:hAnsi="Tahoma" w:cs="Tahoma"/>
          <w:sz w:val="24"/>
          <w:szCs w:val="24"/>
        </w:rPr>
      </w:pPr>
    </w:p>
    <w:p w14:paraId="42B47C8B" w14:textId="77777777" w:rsidR="00C63A76" w:rsidRPr="009C6727" w:rsidRDefault="00C63A76" w:rsidP="00C63A76">
      <w:pPr>
        <w:spacing w:after="0" w:line="288" w:lineRule="auto"/>
        <w:jc w:val="both"/>
        <w:rPr>
          <w:rFonts w:ascii="Tahoma" w:hAnsi="Tahoma" w:cs="Tahoma"/>
          <w:sz w:val="24"/>
          <w:szCs w:val="24"/>
        </w:rPr>
      </w:pPr>
      <w:r w:rsidRPr="009C6727">
        <w:rPr>
          <w:rFonts w:ascii="Tahoma" w:hAnsi="Tahoma" w:cs="Tahoma"/>
          <w:sz w:val="24"/>
          <w:szCs w:val="24"/>
        </w:rPr>
        <w:t>Diversity in the workplace is important for many reasons. It helps us come up with new ideas, creates a culture where people feel they belong, and helps us give better service to our customers.</w:t>
      </w:r>
    </w:p>
    <w:p w14:paraId="6E9F97B3" w14:textId="77777777" w:rsidR="00C63A76" w:rsidRPr="009C6727" w:rsidRDefault="00C63A76" w:rsidP="00C63A76">
      <w:pPr>
        <w:spacing w:after="0" w:line="288" w:lineRule="auto"/>
        <w:jc w:val="both"/>
        <w:rPr>
          <w:rFonts w:ascii="Tahoma" w:hAnsi="Tahoma" w:cs="Tahoma"/>
          <w:sz w:val="24"/>
          <w:szCs w:val="24"/>
        </w:rPr>
      </w:pPr>
    </w:p>
    <w:p w14:paraId="211ACB1F" w14:textId="14B5813E" w:rsidR="00C63A76" w:rsidRPr="009C6727" w:rsidRDefault="00C63A76" w:rsidP="00C63A76">
      <w:pPr>
        <w:spacing w:after="0" w:line="288" w:lineRule="auto"/>
        <w:jc w:val="both"/>
        <w:rPr>
          <w:rFonts w:ascii="Tahoma" w:hAnsi="Tahoma" w:cs="Tahoma"/>
          <w:sz w:val="24"/>
          <w:szCs w:val="24"/>
        </w:rPr>
      </w:pPr>
      <w:r w:rsidRPr="009C6727">
        <w:rPr>
          <w:rFonts w:ascii="Tahoma" w:hAnsi="Tahoma" w:cs="Tahoma"/>
          <w:sz w:val="24"/>
          <w:szCs w:val="24"/>
        </w:rPr>
        <w:t xml:space="preserve">We have continued to build on our values and behaviours, along with our inclusive customer service training. This helps our colleagues put </w:t>
      </w:r>
      <w:r w:rsidR="00B55C85" w:rsidRPr="009C6727">
        <w:rPr>
          <w:rFonts w:ascii="Tahoma" w:hAnsi="Tahoma" w:cs="Tahoma"/>
          <w:sz w:val="24"/>
          <w:szCs w:val="24"/>
        </w:rPr>
        <w:t xml:space="preserve">tenants </w:t>
      </w:r>
      <w:r w:rsidRPr="009C6727">
        <w:rPr>
          <w:rFonts w:ascii="Tahoma" w:hAnsi="Tahoma" w:cs="Tahoma"/>
          <w:sz w:val="24"/>
          <w:szCs w:val="24"/>
        </w:rPr>
        <w:t>first in everything they do. It also supports them to understand different needs, make reasonable adjustments, recognise vulnerabilities, and promote equality, diversity and inclusion in their work.</w:t>
      </w:r>
    </w:p>
    <w:p w14:paraId="502C1668" w14:textId="77777777" w:rsidR="00FD390F" w:rsidRPr="009C6727" w:rsidRDefault="00FD390F" w:rsidP="00FD390F">
      <w:pPr>
        <w:spacing w:after="0" w:line="288" w:lineRule="auto"/>
        <w:jc w:val="both"/>
        <w:rPr>
          <w:rFonts w:ascii="Tahoma" w:hAnsi="Tahoma" w:cs="Tahoma"/>
          <w:sz w:val="24"/>
          <w:szCs w:val="24"/>
        </w:rPr>
      </w:pPr>
    </w:p>
    <w:p w14:paraId="435B35C9" w14:textId="5A767067" w:rsidR="009E2405" w:rsidRPr="009C6727" w:rsidRDefault="004954CD" w:rsidP="00FD390F">
      <w:pPr>
        <w:spacing w:after="0" w:line="288" w:lineRule="auto"/>
        <w:jc w:val="both"/>
        <w:rPr>
          <w:rFonts w:ascii="Tahoma" w:hAnsi="Tahoma" w:cs="Tahoma"/>
          <w:sz w:val="24"/>
          <w:szCs w:val="24"/>
        </w:rPr>
      </w:pPr>
      <w:r w:rsidRPr="009C6727">
        <w:rPr>
          <w:rFonts w:ascii="Tahoma" w:hAnsi="Tahoma" w:cs="Tahoma"/>
          <w:sz w:val="24"/>
          <w:szCs w:val="24"/>
        </w:rPr>
        <w:t>T</w:t>
      </w:r>
      <w:r w:rsidR="00E44352" w:rsidRPr="009C6727">
        <w:rPr>
          <w:rFonts w:ascii="Tahoma" w:hAnsi="Tahoma" w:cs="Tahoma"/>
          <w:sz w:val="24"/>
          <w:szCs w:val="24"/>
        </w:rPr>
        <w:t>his year</w:t>
      </w:r>
      <w:r w:rsidR="009E2405" w:rsidRPr="009C6727">
        <w:rPr>
          <w:rFonts w:ascii="Tahoma" w:hAnsi="Tahoma" w:cs="Tahoma"/>
          <w:sz w:val="24"/>
          <w:szCs w:val="24"/>
        </w:rPr>
        <w:t xml:space="preserve"> we have met </w:t>
      </w:r>
      <w:r w:rsidR="00642714" w:rsidRPr="009C6727">
        <w:rPr>
          <w:rFonts w:ascii="Tahoma" w:hAnsi="Tahoma" w:cs="Tahoma"/>
          <w:sz w:val="24"/>
          <w:szCs w:val="24"/>
        </w:rPr>
        <w:t>4</w:t>
      </w:r>
      <w:r w:rsidRPr="009C6727">
        <w:rPr>
          <w:rFonts w:ascii="Tahoma" w:hAnsi="Tahoma" w:cs="Tahoma"/>
          <w:sz w:val="24"/>
          <w:szCs w:val="24"/>
        </w:rPr>
        <w:t xml:space="preserve"> </w:t>
      </w:r>
      <w:r w:rsidR="00453553" w:rsidRPr="009C6727">
        <w:rPr>
          <w:rFonts w:ascii="Tahoma" w:hAnsi="Tahoma" w:cs="Tahoma"/>
          <w:sz w:val="24"/>
          <w:szCs w:val="24"/>
        </w:rPr>
        <w:t xml:space="preserve">out of </w:t>
      </w:r>
      <w:r w:rsidRPr="009C6727">
        <w:rPr>
          <w:rFonts w:ascii="Tahoma" w:hAnsi="Tahoma" w:cs="Tahoma"/>
          <w:sz w:val="24"/>
          <w:szCs w:val="24"/>
        </w:rPr>
        <w:t xml:space="preserve">5 </w:t>
      </w:r>
      <w:r w:rsidR="00085B92" w:rsidRPr="009C6727">
        <w:rPr>
          <w:rFonts w:ascii="Tahoma" w:hAnsi="Tahoma" w:cs="Tahoma"/>
          <w:sz w:val="24"/>
          <w:szCs w:val="24"/>
        </w:rPr>
        <w:t>targets</w:t>
      </w:r>
      <w:r w:rsidR="00642714" w:rsidRPr="009C6727">
        <w:rPr>
          <w:rFonts w:ascii="Tahoma" w:hAnsi="Tahoma" w:cs="Tahoma"/>
          <w:sz w:val="24"/>
          <w:szCs w:val="24"/>
        </w:rPr>
        <w:t xml:space="preserve"> as shown below.</w:t>
      </w:r>
      <w:r w:rsidR="009E2405" w:rsidRPr="009C6727">
        <w:rPr>
          <w:rFonts w:ascii="Tahoma" w:hAnsi="Tahoma" w:cs="Tahoma"/>
          <w:sz w:val="24"/>
          <w:szCs w:val="24"/>
        </w:rPr>
        <w:t xml:space="preserve"> Our median gender pay gap has worsened slightly, by 0.02%. </w:t>
      </w:r>
    </w:p>
    <w:p w14:paraId="08C974E9" w14:textId="77777777" w:rsidR="009E2405" w:rsidRPr="009C6727" w:rsidRDefault="009E2405" w:rsidP="00FD390F">
      <w:pPr>
        <w:spacing w:after="0" w:line="288" w:lineRule="auto"/>
        <w:jc w:val="both"/>
        <w:rPr>
          <w:rFonts w:ascii="Tahoma" w:hAnsi="Tahoma" w:cs="Tahoma"/>
          <w:sz w:val="24"/>
          <w:szCs w:val="24"/>
        </w:rPr>
      </w:pPr>
    </w:p>
    <w:tbl>
      <w:tblPr>
        <w:tblStyle w:val="TableGrid"/>
        <w:tblW w:w="10533" w:type="dxa"/>
        <w:tblInd w:w="-5" w:type="dxa"/>
        <w:tblLook w:val="04A0" w:firstRow="1" w:lastRow="0" w:firstColumn="1" w:lastColumn="0" w:noHBand="0" w:noVBand="1"/>
      </w:tblPr>
      <w:tblGrid>
        <w:gridCol w:w="4777"/>
        <w:gridCol w:w="1252"/>
        <w:gridCol w:w="1553"/>
        <w:gridCol w:w="1553"/>
        <w:gridCol w:w="1398"/>
      </w:tblGrid>
      <w:tr w:rsidR="009E2405" w:rsidRPr="009C6727" w14:paraId="1579FC47" w14:textId="77777777" w:rsidTr="0045659E">
        <w:trPr>
          <w:trHeight w:val="570"/>
        </w:trPr>
        <w:tc>
          <w:tcPr>
            <w:tcW w:w="4813" w:type="dxa"/>
            <w:shd w:val="clear" w:color="auto" w:fill="012169"/>
            <w:hideMark/>
          </w:tcPr>
          <w:p w14:paraId="45920FA9" w14:textId="77777777" w:rsidR="009E2405" w:rsidRPr="009C6727" w:rsidRDefault="009E2405" w:rsidP="009E2405">
            <w:pPr>
              <w:jc w:val="center"/>
              <w:rPr>
                <w:rFonts w:ascii="Tahoma" w:eastAsia="Times New Roman" w:hAnsi="Tahoma" w:cs="Tahoma"/>
                <w:color w:val="FFFFFF"/>
                <w:sz w:val="24"/>
                <w:szCs w:val="24"/>
                <w:lang w:eastAsia="en-GB"/>
              </w:rPr>
            </w:pPr>
            <w:r w:rsidRPr="009C6727">
              <w:rPr>
                <w:rFonts w:ascii="Tahoma" w:eastAsia="Times New Roman" w:hAnsi="Tahoma" w:cs="Tahoma"/>
                <w:sz w:val="24"/>
                <w:szCs w:val="24"/>
                <w:lang w:eastAsia="en-GB"/>
              </w:rPr>
              <w:t>Target area</w:t>
            </w:r>
          </w:p>
        </w:tc>
        <w:tc>
          <w:tcPr>
            <w:tcW w:w="1254" w:type="dxa"/>
            <w:shd w:val="clear" w:color="auto" w:fill="012169"/>
            <w:hideMark/>
          </w:tcPr>
          <w:p w14:paraId="0F6FA3C3" w14:textId="3DE0B6EC" w:rsidR="009E2405" w:rsidRPr="009C6727" w:rsidRDefault="009E2405" w:rsidP="009E2405">
            <w:pPr>
              <w:jc w:val="center"/>
              <w:rPr>
                <w:rFonts w:ascii="Tahoma" w:eastAsia="Times New Roman" w:hAnsi="Tahoma" w:cs="Tahoma"/>
                <w:color w:val="FFFFFF"/>
                <w:sz w:val="24"/>
                <w:szCs w:val="24"/>
                <w:lang w:eastAsia="en-GB"/>
              </w:rPr>
            </w:pPr>
            <w:r w:rsidRPr="009C6727">
              <w:rPr>
                <w:rFonts w:ascii="Tahoma" w:eastAsia="Times New Roman" w:hAnsi="Tahoma" w:cs="Tahoma"/>
                <w:sz w:val="24"/>
                <w:szCs w:val="24"/>
                <w:lang w:eastAsia="en-GB"/>
              </w:rPr>
              <w:t xml:space="preserve">Target </w:t>
            </w:r>
            <w:r w:rsidR="00E037E0" w:rsidRPr="009C6727">
              <w:rPr>
                <w:rFonts w:ascii="Tahoma" w:eastAsia="Times New Roman" w:hAnsi="Tahoma" w:cs="Tahoma"/>
                <w:sz w:val="24"/>
                <w:szCs w:val="24"/>
                <w:lang w:eastAsia="en-GB"/>
              </w:rPr>
              <w:t>2025/26</w:t>
            </w:r>
          </w:p>
        </w:tc>
        <w:tc>
          <w:tcPr>
            <w:tcW w:w="1553" w:type="dxa"/>
            <w:shd w:val="clear" w:color="auto" w:fill="012169"/>
            <w:hideMark/>
          </w:tcPr>
          <w:p w14:paraId="48EA2065" w14:textId="3986F6B4" w:rsidR="009E2405" w:rsidRPr="009C6727" w:rsidRDefault="009E2405" w:rsidP="009E2405">
            <w:pPr>
              <w:jc w:val="center"/>
              <w:rPr>
                <w:rFonts w:ascii="Tahoma" w:eastAsia="Times New Roman" w:hAnsi="Tahoma" w:cs="Tahoma"/>
                <w:color w:val="FFFFFF"/>
                <w:sz w:val="24"/>
                <w:szCs w:val="24"/>
                <w:lang w:eastAsia="en-GB"/>
              </w:rPr>
            </w:pPr>
            <w:r w:rsidRPr="009C6727">
              <w:rPr>
                <w:rFonts w:ascii="Tahoma" w:eastAsia="Times New Roman" w:hAnsi="Tahoma" w:cs="Tahoma"/>
                <w:sz w:val="24"/>
                <w:szCs w:val="24"/>
                <w:lang w:eastAsia="en-GB"/>
              </w:rPr>
              <w:t xml:space="preserve">Performance </w:t>
            </w:r>
            <w:r w:rsidR="00E037E0" w:rsidRPr="009C6727">
              <w:rPr>
                <w:rFonts w:ascii="Tahoma" w:eastAsia="Times New Roman" w:hAnsi="Tahoma" w:cs="Tahoma"/>
                <w:sz w:val="24"/>
                <w:szCs w:val="24"/>
                <w:lang w:eastAsia="en-GB"/>
              </w:rPr>
              <w:t>2025/26</w:t>
            </w:r>
          </w:p>
        </w:tc>
        <w:tc>
          <w:tcPr>
            <w:tcW w:w="1553" w:type="dxa"/>
            <w:shd w:val="clear" w:color="auto" w:fill="012169"/>
            <w:hideMark/>
          </w:tcPr>
          <w:p w14:paraId="58E99124" w14:textId="31883203" w:rsidR="009E2405" w:rsidRPr="009C6727" w:rsidRDefault="009E2405" w:rsidP="009E2405">
            <w:pPr>
              <w:jc w:val="center"/>
              <w:rPr>
                <w:rFonts w:ascii="Tahoma" w:eastAsia="Times New Roman" w:hAnsi="Tahoma" w:cs="Tahoma"/>
                <w:color w:val="FFFFFF"/>
                <w:sz w:val="24"/>
                <w:szCs w:val="24"/>
                <w:lang w:eastAsia="en-GB"/>
              </w:rPr>
            </w:pPr>
            <w:r w:rsidRPr="009C6727">
              <w:rPr>
                <w:rFonts w:ascii="Tahoma" w:eastAsia="Times New Roman" w:hAnsi="Tahoma" w:cs="Tahoma"/>
                <w:sz w:val="24"/>
                <w:szCs w:val="24"/>
                <w:lang w:eastAsia="en-GB"/>
              </w:rPr>
              <w:t>Performance 202</w:t>
            </w:r>
            <w:r w:rsidR="00E037E0" w:rsidRPr="009C6727">
              <w:rPr>
                <w:rFonts w:ascii="Tahoma" w:eastAsia="Times New Roman" w:hAnsi="Tahoma" w:cs="Tahoma"/>
                <w:sz w:val="24"/>
                <w:szCs w:val="24"/>
                <w:lang w:eastAsia="en-GB"/>
              </w:rPr>
              <w:t>4</w:t>
            </w:r>
            <w:r w:rsidRPr="009C6727">
              <w:rPr>
                <w:rFonts w:ascii="Tahoma" w:eastAsia="Times New Roman" w:hAnsi="Tahoma" w:cs="Tahoma"/>
                <w:sz w:val="24"/>
                <w:szCs w:val="24"/>
                <w:lang w:eastAsia="en-GB"/>
              </w:rPr>
              <w:t>/2</w:t>
            </w:r>
            <w:r w:rsidR="00E037E0" w:rsidRPr="009C6727">
              <w:rPr>
                <w:rFonts w:ascii="Tahoma" w:eastAsia="Times New Roman" w:hAnsi="Tahoma" w:cs="Tahoma"/>
                <w:sz w:val="24"/>
                <w:szCs w:val="24"/>
                <w:lang w:eastAsia="en-GB"/>
              </w:rPr>
              <w:t>5</w:t>
            </w:r>
          </w:p>
        </w:tc>
        <w:tc>
          <w:tcPr>
            <w:tcW w:w="1360" w:type="dxa"/>
            <w:shd w:val="clear" w:color="auto" w:fill="012169"/>
            <w:hideMark/>
          </w:tcPr>
          <w:p w14:paraId="1371F2BD" w14:textId="5FEE15A3" w:rsidR="009E2405" w:rsidRPr="009C6727" w:rsidRDefault="007D0BFD" w:rsidP="009E2405">
            <w:pPr>
              <w:jc w:val="center"/>
              <w:rPr>
                <w:rFonts w:ascii="Tahoma" w:eastAsia="Times New Roman" w:hAnsi="Tahoma" w:cs="Tahoma"/>
                <w:color w:val="FFFFFF"/>
                <w:sz w:val="24"/>
                <w:szCs w:val="24"/>
                <w:lang w:eastAsia="en-GB"/>
              </w:rPr>
            </w:pPr>
            <w:r w:rsidRPr="009C6727">
              <w:rPr>
                <w:rFonts w:ascii="Tahoma" w:eastAsia="Times New Roman" w:hAnsi="Tahoma" w:cs="Tahoma"/>
                <w:sz w:val="24"/>
                <w:szCs w:val="24"/>
                <w:lang w:eastAsia="en-GB"/>
              </w:rPr>
              <w:t>Percentage Change</w:t>
            </w:r>
          </w:p>
        </w:tc>
      </w:tr>
      <w:tr w:rsidR="009D0A1B" w:rsidRPr="009C6727" w14:paraId="612884AF" w14:textId="77777777" w:rsidTr="009D0A1B">
        <w:trPr>
          <w:trHeight w:val="825"/>
        </w:trPr>
        <w:tc>
          <w:tcPr>
            <w:tcW w:w="4813" w:type="dxa"/>
            <w:vAlign w:val="center"/>
            <w:hideMark/>
          </w:tcPr>
          <w:p w14:paraId="03CFEB71" w14:textId="656A91BF" w:rsidR="009D0A1B" w:rsidRPr="009C6727" w:rsidRDefault="009D0A1B" w:rsidP="009D0A1B">
            <w:pP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Percentage of colleagues aged 30 years old and under</w:t>
            </w:r>
          </w:p>
        </w:tc>
        <w:tc>
          <w:tcPr>
            <w:tcW w:w="1254" w:type="dxa"/>
            <w:vAlign w:val="center"/>
            <w:hideMark/>
          </w:tcPr>
          <w:p w14:paraId="5A87F1A4" w14:textId="26424B17"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10.00%</w:t>
            </w:r>
          </w:p>
        </w:tc>
        <w:tc>
          <w:tcPr>
            <w:tcW w:w="1553" w:type="dxa"/>
            <w:shd w:val="clear" w:color="auto" w:fill="92D050"/>
            <w:vAlign w:val="center"/>
            <w:hideMark/>
          </w:tcPr>
          <w:p w14:paraId="2C4E0522" w14:textId="046A4BD0"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13.55%</w:t>
            </w:r>
          </w:p>
        </w:tc>
        <w:tc>
          <w:tcPr>
            <w:tcW w:w="1553" w:type="dxa"/>
            <w:vAlign w:val="center"/>
          </w:tcPr>
          <w:p w14:paraId="4827BA0D" w14:textId="5B2D82DD"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11.89%</w:t>
            </w:r>
          </w:p>
        </w:tc>
        <w:tc>
          <w:tcPr>
            <w:tcW w:w="1360" w:type="dxa"/>
            <w:vAlign w:val="center"/>
          </w:tcPr>
          <w:p w14:paraId="37195040" w14:textId="32ADEA33"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1.66%</w:t>
            </w:r>
          </w:p>
        </w:tc>
      </w:tr>
      <w:tr w:rsidR="009D0A1B" w:rsidRPr="009C6727" w14:paraId="0A843AC8" w14:textId="77777777" w:rsidTr="009D0A1B">
        <w:trPr>
          <w:trHeight w:val="585"/>
        </w:trPr>
        <w:tc>
          <w:tcPr>
            <w:tcW w:w="4813" w:type="dxa"/>
            <w:vAlign w:val="center"/>
            <w:hideMark/>
          </w:tcPr>
          <w:p w14:paraId="6A771AD1" w14:textId="77777777" w:rsidR="009D0A1B" w:rsidRPr="009C6727" w:rsidRDefault="009D0A1B" w:rsidP="009D0A1B">
            <w:pP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Percentage of colleagues aged 55 years old and over</w:t>
            </w:r>
          </w:p>
        </w:tc>
        <w:tc>
          <w:tcPr>
            <w:tcW w:w="1254" w:type="dxa"/>
            <w:vAlign w:val="center"/>
            <w:hideMark/>
          </w:tcPr>
          <w:p w14:paraId="764CBDAE" w14:textId="77777777"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12.00%</w:t>
            </w:r>
          </w:p>
        </w:tc>
        <w:tc>
          <w:tcPr>
            <w:tcW w:w="1553" w:type="dxa"/>
            <w:shd w:val="clear" w:color="auto" w:fill="92D050"/>
            <w:vAlign w:val="center"/>
            <w:hideMark/>
          </w:tcPr>
          <w:p w14:paraId="7915C2C7" w14:textId="04980B9B"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20.97%</w:t>
            </w:r>
          </w:p>
        </w:tc>
        <w:tc>
          <w:tcPr>
            <w:tcW w:w="1553" w:type="dxa"/>
            <w:vAlign w:val="center"/>
            <w:hideMark/>
          </w:tcPr>
          <w:p w14:paraId="52DE5530" w14:textId="7CD95551"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20.98%</w:t>
            </w:r>
          </w:p>
        </w:tc>
        <w:tc>
          <w:tcPr>
            <w:tcW w:w="1360" w:type="dxa"/>
            <w:vAlign w:val="center"/>
          </w:tcPr>
          <w:p w14:paraId="3676E6E2" w14:textId="54FE7460"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-0.01%</w:t>
            </w:r>
          </w:p>
        </w:tc>
      </w:tr>
      <w:tr w:rsidR="009D0A1B" w:rsidRPr="009C6727" w14:paraId="58F93FA8" w14:textId="77777777" w:rsidTr="009D0A1B">
        <w:trPr>
          <w:trHeight w:val="585"/>
        </w:trPr>
        <w:tc>
          <w:tcPr>
            <w:tcW w:w="4813" w:type="dxa"/>
            <w:vAlign w:val="center"/>
            <w:hideMark/>
          </w:tcPr>
          <w:p w14:paraId="0DCFB37F" w14:textId="77777777" w:rsidR="009D0A1B" w:rsidRPr="009C6727" w:rsidRDefault="009D0A1B" w:rsidP="009D0A1B">
            <w:pP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Percentage of ethnic minority colleagues</w:t>
            </w:r>
          </w:p>
        </w:tc>
        <w:tc>
          <w:tcPr>
            <w:tcW w:w="1254" w:type="dxa"/>
            <w:vAlign w:val="center"/>
            <w:hideMark/>
          </w:tcPr>
          <w:p w14:paraId="7425C263" w14:textId="77777777"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11.50%</w:t>
            </w:r>
          </w:p>
        </w:tc>
        <w:tc>
          <w:tcPr>
            <w:tcW w:w="1553" w:type="dxa"/>
            <w:shd w:val="clear" w:color="auto" w:fill="92D050"/>
            <w:vAlign w:val="center"/>
            <w:hideMark/>
          </w:tcPr>
          <w:p w14:paraId="679F3318" w14:textId="30DBFE46"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14.52%</w:t>
            </w:r>
          </w:p>
        </w:tc>
        <w:tc>
          <w:tcPr>
            <w:tcW w:w="1553" w:type="dxa"/>
            <w:vAlign w:val="center"/>
            <w:hideMark/>
          </w:tcPr>
          <w:p w14:paraId="6178058B" w14:textId="1433A25C"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12.59%</w:t>
            </w:r>
          </w:p>
        </w:tc>
        <w:tc>
          <w:tcPr>
            <w:tcW w:w="1360" w:type="dxa"/>
            <w:vAlign w:val="center"/>
          </w:tcPr>
          <w:p w14:paraId="54799FEE" w14:textId="40C37C83"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1.93%</w:t>
            </w:r>
          </w:p>
        </w:tc>
      </w:tr>
      <w:tr w:rsidR="009D0A1B" w:rsidRPr="009C6727" w14:paraId="3468B91B" w14:textId="77777777" w:rsidTr="009D0A1B">
        <w:trPr>
          <w:trHeight w:val="585"/>
        </w:trPr>
        <w:tc>
          <w:tcPr>
            <w:tcW w:w="4813" w:type="dxa"/>
            <w:vAlign w:val="center"/>
            <w:hideMark/>
          </w:tcPr>
          <w:p w14:paraId="6D0BF3D5" w14:textId="77777777" w:rsidR="009D0A1B" w:rsidRPr="009C6727" w:rsidRDefault="009D0A1B" w:rsidP="009D0A1B">
            <w:pP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Percentages of colleagues identified as having a disability</w:t>
            </w:r>
          </w:p>
        </w:tc>
        <w:tc>
          <w:tcPr>
            <w:tcW w:w="1254" w:type="dxa"/>
            <w:vAlign w:val="center"/>
            <w:hideMark/>
          </w:tcPr>
          <w:p w14:paraId="7E96307B" w14:textId="77777777"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7.00%</w:t>
            </w:r>
          </w:p>
        </w:tc>
        <w:tc>
          <w:tcPr>
            <w:tcW w:w="1553" w:type="dxa"/>
            <w:shd w:val="clear" w:color="auto" w:fill="92D050"/>
            <w:vAlign w:val="center"/>
            <w:hideMark/>
          </w:tcPr>
          <w:p w14:paraId="62CED37F" w14:textId="6ABF5F77"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9.35%</w:t>
            </w:r>
          </w:p>
        </w:tc>
        <w:tc>
          <w:tcPr>
            <w:tcW w:w="1553" w:type="dxa"/>
            <w:vAlign w:val="center"/>
            <w:hideMark/>
          </w:tcPr>
          <w:p w14:paraId="33948FDF" w14:textId="3B0CEAB8"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9.79%</w:t>
            </w:r>
          </w:p>
        </w:tc>
        <w:tc>
          <w:tcPr>
            <w:tcW w:w="1360" w:type="dxa"/>
            <w:vAlign w:val="center"/>
          </w:tcPr>
          <w:p w14:paraId="65602498" w14:textId="268C8E2D"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-0.44%</w:t>
            </w:r>
          </w:p>
        </w:tc>
      </w:tr>
      <w:tr w:rsidR="009D0A1B" w:rsidRPr="009C6727" w14:paraId="34E142D6" w14:textId="77777777" w:rsidTr="009D0A1B">
        <w:trPr>
          <w:trHeight w:val="70"/>
        </w:trPr>
        <w:tc>
          <w:tcPr>
            <w:tcW w:w="4813" w:type="dxa"/>
            <w:vAlign w:val="center"/>
            <w:hideMark/>
          </w:tcPr>
          <w:p w14:paraId="332B93D2" w14:textId="77777777" w:rsidR="009D0A1B" w:rsidRPr="009C6727" w:rsidRDefault="009D0A1B" w:rsidP="009D0A1B">
            <w:pP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Our median Gender Pay Gap</w:t>
            </w:r>
          </w:p>
          <w:p w14:paraId="30920B24" w14:textId="6CE4CFC5" w:rsidR="009D0A1B" w:rsidRPr="009C6727" w:rsidRDefault="009D0A1B" w:rsidP="009D0A1B">
            <w:pPr>
              <w:rPr>
                <w:rFonts w:ascii="Tahoma" w:eastAsia="Times New Roman" w:hAnsi="Tahoma" w:cs="Tahoma"/>
                <w:color w:val="000000"/>
                <w:sz w:val="24"/>
                <w:szCs w:val="24"/>
                <w:lang w:eastAsia="en-GB"/>
              </w:rPr>
            </w:pPr>
          </w:p>
        </w:tc>
        <w:tc>
          <w:tcPr>
            <w:tcW w:w="1254" w:type="dxa"/>
            <w:vAlign w:val="center"/>
            <w:hideMark/>
          </w:tcPr>
          <w:p w14:paraId="6DC21EBF" w14:textId="77777777"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8.00%</w:t>
            </w:r>
          </w:p>
        </w:tc>
        <w:tc>
          <w:tcPr>
            <w:tcW w:w="1553" w:type="dxa"/>
            <w:shd w:val="clear" w:color="auto" w:fill="FFC000"/>
            <w:vAlign w:val="center"/>
            <w:hideMark/>
          </w:tcPr>
          <w:p w14:paraId="09E6905E" w14:textId="01BE1E3C"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8.18%</w:t>
            </w:r>
          </w:p>
          <w:p w14:paraId="4B2267D8" w14:textId="77777777" w:rsidR="009D0A1B" w:rsidRPr="009C6727" w:rsidRDefault="009D0A1B" w:rsidP="009D0A1B">
            <w:pPr>
              <w:jc w:val="center"/>
              <w:rPr>
                <w:rFonts w:ascii="Tahoma" w:eastAsia="Times New Roman" w:hAnsi="Tahoma" w:cs="Tahoma"/>
                <w:color w:val="000000"/>
                <w:sz w:val="24"/>
                <w:szCs w:val="24"/>
                <w:lang w:eastAsia="en-GB"/>
              </w:rPr>
            </w:pPr>
          </w:p>
        </w:tc>
        <w:tc>
          <w:tcPr>
            <w:tcW w:w="1553" w:type="dxa"/>
            <w:vAlign w:val="center"/>
            <w:hideMark/>
          </w:tcPr>
          <w:p w14:paraId="7420289D" w14:textId="77777777" w:rsidR="009D0A1B" w:rsidRPr="009C6727" w:rsidRDefault="009D0A1B" w:rsidP="009D0A1B">
            <w:pPr>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8.16%</w:t>
            </w:r>
          </w:p>
          <w:p w14:paraId="01F69706" w14:textId="79956A69" w:rsidR="009D0A1B" w:rsidRPr="009C6727" w:rsidRDefault="009D0A1B" w:rsidP="009D0A1B">
            <w:pPr>
              <w:jc w:val="center"/>
              <w:rPr>
                <w:rFonts w:ascii="Tahoma" w:eastAsia="Times New Roman" w:hAnsi="Tahoma" w:cs="Tahoma"/>
                <w:color w:val="000000"/>
                <w:sz w:val="24"/>
                <w:szCs w:val="24"/>
                <w:lang w:eastAsia="en-GB"/>
              </w:rPr>
            </w:pPr>
          </w:p>
        </w:tc>
        <w:tc>
          <w:tcPr>
            <w:tcW w:w="1360" w:type="dxa"/>
            <w:vAlign w:val="center"/>
          </w:tcPr>
          <w:p w14:paraId="6C0C7494" w14:textId="73C1784A" w:rsidR="009D0A1B" w:rsidRPr="009C6727" w:rsidRDefault="00441E59" w:rsidP="009D0A1B">
            <w:pPr>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w:t>
            </w:r>
            <w:r w:rsidR="009D0A1B" w:rsidRPr="009C6727">
              <w:rPr>
                <w:rFonts w:ascii="Tahoma" w:hAnsi="Tahoma" w:cs="Tahoma"/>
                <w:color w:val="000000"/>
                <w:sz w:val="24"/>
                <w:szCs w:val="24"/>
              </w:rPr>
              <w:t>0.02%</w:t>
            </w:r>
          </w:p>
        </w:tc>
      </w:tr>
    </w:tbl>
    <w:p w14:paraId="7EA31415" w14:textId="77777777" w:rsidR="00066D5A" w:rsidRPr="009C6727" w:rsidRDefault="00066D5A" w:rsidP="00FD390F">
      <w:pPr>
        <w:spacing w:after="0" w:line="288" w:lineRule="auto"/>
        <w:jc w:val="both"/>
        <w:rPr>
          <w:rFonts w:ascii="Tahoma" w:hAnsi="Tahoma" w:cs="Tahoma"/>
          <w:sz w:val="24"/>
          <w:szCs w:val="24"/>
        </w:rPr>
      </w:pPr>
    </w:p>
    <w:p w14:paraId="765959C6" w14:textId="426F7E3B" w:rsidR="00ED0E8C" w:rsidRPr="009C6727" w:rsidRDefault="0079179A" w:rsidP="00ED0E8C">
      <w:pPr>
        <w:spacing w:after="0" w:line="288" w:lineRule="auto"/>
        <w:jc w:val="both"/>
        <w:rPr>
          <w:rFonts w:ascii="Tahoma" w:hAnsi="Tahoma" w:cs="Tahoma"/>
          <w:sz w:val="24"/>
          <w:szCs w:val="24"/>
        </w:rPr>
      </w:pPr>
      <w:r w:rsidRPr="009C6727">
        <w:rPr>
          <w:rFonts w:ascii="Tahoma" w:hAnsi="Tahoma" w:cs="Tahoma"/>
          <w:sz w:val="24"/>
          <w:szCs w:val="24"/>
        </w:rPr>
        <w:t>As at the end of 202</w:t>
      </w:r>
      <w:r w:rsidR="00C63A76" w:rsidRPr="009C6727">
        <w:rPr>
          <w:rFonts w:ascii="Tahoma" w:hAnsi="Tahoma" w:cs="Tahoma"/>
          <w:sz w:val="24"/>
          <w:szCs w:val="24"/>
        </w:rPr>
        <w:t>5/26</w:t>
      </w:r>
      <w:r w:rsidRPr="009C6727">
        <w:rPr>
          <w:rFonts w:ascii="Tahoma" w:hAnsi="Tahoma" w:cs="Tahoma"/>
          <w:sz w:val="24"/>
          <w:szCs w:val="24"/>
        </w:rPr>
        <w:t xml:space="preserve">, </w:t>
      </w:r>
      <w:r w:rsidR="006E0213" w:rsidRPr="009C6727">
        <w:rPr>
          <w:rFonts w:ascii="Tahoma" w:hAnsi="Tahoma" w:cs="Tahoma"/>
          <w:sz w:val="24"/>
          <w:szCs w:val="24"/>
        </w:rPr>
        <w:t xml:space="preserve">CGA employed </w:t>
      </w:r>
      <w:r w:rsidR="00036464" w:rsidRPr="009C6727">
        <w:rPr>
          <w:rFonts w:ascii="Tahoma" w:hAnsi="Tahoma" w:cs="Tahoma"/>
          <w:sz w:val="24"/>
          <w:szCs w:val="24"/>
        </w:rPr>
        <w:t>310</w:t>
      </w:r>
      <w:r w:rsidR="00036F9C" w:rsidRPr="009C6727">
        <w:rPr>
          <w:rFonts w:ascii="Tahoma" w:hAnsi="Tahoma" w:cs="Tahoma"/>
          <w:sz w:val="24"/>
          <w:szCs w:val="24"/>
        </w:rPr>
        <w:t xml:space="preserve"> </w:t>
      </w:r>
      <w:r w:rsidR="000534D8" w:rsidRPr="009C6727">
        <w:rPr>
          <w:rFonts w:ascii="Tahoma" w:hAnsi="Tahoma" w:cs="Tahoma"/>
          <w:sz w:val="24"/>
          <w:szCs w:val="24"/>
        </w:rPr>
        <w:t>colleagues</w:t>
      </w:r>
      <w:r w:rsidR="00803F7C" w:rsidRPr="009C6727">
        <w:rPr>
          <w:rFonts w:ascii="Tahoma" w:hAnsi="Tahoma" w:cs="Tahoma"/>
          <w:sz w:val="24"/>
          <w:szCs w:val="24"/>
        </w:rPr>
        <w:t xml:space="preserve"> (</w:t>
      </w:r>
      <w:r w:rsidR="00036F9C" w:rsidRPr="009C6727">
        <w:rPr>
          <w:rFonts w:ascii="Tahoma" w:hAnsi="Tahoma" w:cs="Tahoma"/>
          <w:sz w:val="24"/>
          <w:szCs w:val="24"/>
        </w:rPr>
        <w:t>ex</w:t>
      </w:r>
      <w:r w:rsidR="00803F7C" w:rsidRPr="009C6727">
        <w:rPr>
          <w:rFonts w:ascii="Tahoma" w:hAnsi="Tahoma" w:cs="Tahoma"/>
          <w:sz w:val="24"/>
          <w:szCs w:val="24"/>
        </w:rPr>
        <w:t xml:space="preserve">cluding those employed at our subsidiary </w:t>
      </w:r>
      <w:r w:rsidR="00F3167E" w:rsidRPr="009C6727">
        <w:rPr>
          <w:rFonts w:ascii="Tahoma" w:hAnsi="Tahoma" w:cs="Tahoma"/>
          <w:sz w:val="24"/>
          <w:szCs w:val="24"/>
        </w:rPr>
        <w:t>organi</w:t>
      </w:r>
      <w:r w:rsidR="00640997" w:rsidRPr="009C6727">
        <w:rPr>
          <w:rFonts w:ascii="Tahoma" w:hAnsi="Tahoma" w:cs="Tahoma"/>
          <w:sz w:val="24"/>
          <w:szCs w:val="24"/>
        </w:rPr>
        <w:t>s</w:t>
      </w:r>
      <w:r w:rsidR="00F3167E" w:rsidRPr="009C6727">
        <w:rPr>
          <w:rFonts w:ascii="Tahoma" w:hAnsi="Tahoma" w:cs="Tahoma"/>
          <w:sz w:val="24"/>
          <w:szCs w:val="24"/>
        </w:rPr>
        <w:t xml:space="preserve">ation, </w:t>
      </w:r>
      <w:r w:rsidR="00803F7C" w:rsidRPr="009C6727">
        <w:rPr>
          <w:rFonts w:ascii="Tahoma" w:hAnsi="Tahoma" w:cs="Tahoma"/>
          <w:sz w:val="24"/>
          <w:szCs w:val="24"/>
        </w:rPr>
        <w:t>Preston Vocational Centre)</w:t>
      </w:r>
      <w:r w:rsidR="00FD185A" w:rsidRPr="009C6727">
        <w:rPr>
          <w:rFonts w:ascii="Tahoma" w:hAnsi="Tahoma" w:cs="Tahoma"/>
          <w:sz w:val="24"/>
          <w:szCs w:val="24"/>
        </w:rPr>
        <w:t>.</w:t>
      </w:r>
      <w:r w:rsidR="000B31DD" w:rsidRPr="009C6727">
        <w:rPr>
          <w:rFonts w:ascii="Tahoma" w:hAnsi="Tahoma" w:cs="Tahoma"/>
          <w:sz w:val="24"/>
          <w:szCs w:val="24"/>
        </w:rPr>
        <w:t xml:space="preserve"> </w:t>
      </w:r>
      <w:r w:rsidR="00E44352" w:rsidRPr="009C6727">
        <w:rPr>
          <w:rFonts w:ascii="Tahoma" w:hAnsi="Tahoma" w:cs="Tahoma"/>
          <w:sz w:val="24"/>
          <w:szCs w:val="24"/>
        </w:rPr>
        <w:t xml:space="preserve"> </w:t>
      </w:r>
      <w:r w:rsidR="00ED0E8C" w:rsidRPr="009C6727">
        <w:rPr>
          <w:rFonts w:ascii="Tahoma" w:hAnsi="Tahoma" w:cs="Tahoma"/>
          <w:sz w:val="24"/>
          <w:szCs w:val="24"/>
        </w:rPr>
        <w:t>We aim to be reflective of the communities we serve, and our workforce data has been reviewed and compared with census data for Preston and information we hold about our tenants.</w:t>
      </w:r>
    </w:p>
    <w:p w14:paraId="43954AF4" w14:textId="77777777" w:rsidR="00FD390F" w:rsidRPr="009C6727" w:rsidRDefault="00FD390F" w:rsidP="00FD390F">
      <w:pPr>
        <w:spacing w:after="0" w:line="288" w:lineRule="auto"/>
        <w:jc w:val="both"/>
        <w:rPr>
          <w:rFonts w:ascii="Tahoma" w:hAnsi="Tahoma" w:cs="Tahoma"/>
          <w:sz w:val="24"/>
          <w:szCs w:val="24"/>
        </w:rPr>
      </w:pPr>
    </w:p>
    <w:p w14:paraId="560D1351" w14:textId="77777777" w:rsidR="00D610F6" w:rsidRPr="009C6727" w:rsidRDefault="00D610F6" w:rsidP="00FD390F">
      <w:pPr>
        <w:spacing w:after="0" w:line="288" w:lineRule="auto"/>
        <w:jc w:val="both"/>
        <w:rPr>
          <w:rFonts w:ascii="Tahoma" w:hAnsi="Tahoma" w:cs="Tahoma"/>
          <w:b/>
          <w:bCs/>
          <w:color w:val="012169"/>
          <w:sz w:val="24"/>
          <w:szCs w:val="24"/>
        </w:rPr>
      </w:pPr>
    </w:p>
    <w:p w14:paraId="0BD8E3D4" w14:textId="77777777" w:rsidR="00D610F6" w:rsidRPr="009C6727" w:rsidRDefault="00D610F6">
      <w:pPr>
        <w:rPr>
          <w:rFonts w:ascii="Tahoma" w:hAnsi="Tahoma" w:cs="Tahoma"/>
          <w:b/>
          <w:bCs/>
          <w:color w:val="012169"/>
          <w:sz w:val="24"/>
          <w:szCs w:val="24"/>
        </w:rPr>
      </w:pPr>
      <w:r w:rsidRPr="009C6727">
        <w:rPr>
          <w:rFonts w:ascii="Tahoma" w:hAnsi="Tahoma" w:cs="Tahoma"/>
          <w:b/>
          <w:bCs/>
          <w:color w:val="012169"/>
          <w:sz w:val="24"/>
          <w:szCs w:val="24"/>
        </w:rPr>
        <w:br w:type="page"/>
      </w:r>
    </w:p>
    <w:p w14:paraId="2369AC96" w14:textId="77777777" w:rsidR="0031557A" w:rsidRDefault="00663138" w:rsidP="00FD390F">
      <w:pPr>
        <w:spacing w:after="0" w:line="288" w:lineRule="auto"/>
        <w:jc w:val="both"/>
        <w:rPr>
          <w:rFonts w:ascii="Tahoma" w:hAnsi="Tahoma" w:cs="Tahoma"/>
          <w:b/>
          <w:bCs/>
          <w:color w:val="012169"/>
          <w:sz w:val="24"/>
          <w:szCs w:val="24"/>
        </w:rPr>
      </w:pPr>
      <w:r w:rsidRPr="009C6727">
        <w:rPr>
          <w:rFonts w:ascii="Tahoma" w:hAnsi="Tahoma" w:cs="Tahoma"/>
          <w:b/>
          <w:bCs/>
          <w:color w:val="012169"/>
          <w:sz w:val="24"/>
          <w:szCs w:val="24"/>
        </w:rPr>
        <w:lastRenderedPageBreak/>
        <w:t>Gender</w:t>
      </w:r>
    </w:p>
    <w:p w14:paraId="07137E51" w14:textId="16ED29CF" w:rsidR="009E2405" w:rsidRPr="009C6727" w:rsidRDefault="00F36705" w:rsidP="00FD390F">
      <w:pPr>
        <w:spacing w:after="0" w:line="288" w:lineRule="auto"/>
        <w:jc w:val="both"/>
        <w:rPr>
          <w:rFonts w:ascii="Tahoma" w:hAnsi="Tahoma" w:cs="Tahoma"/>
          <w:sz w:val="24"/>
          <w:szCs w:val="24"/>
        </w:rPr>
      </w:pPr>
      <w:r w:rsidRPr="009C6727">
        <w:rPr>
          <w:rFonts w:ascii="Tahoma" w:hAnsi="Tahoma" w:cs="Tahoma"/>
          <w:sz w:val="24"/>
          <w:szCs w:val="24"/>
        </w:rPr>
        <w:t>40.97</w:t>
      </w:r>
      <w:r w:rsidR="009E2405" w:rsidRPr="009C6727">
        <w:rPr>
          <w:rFonts w:ascii="Tahoma" w:hAnsi="Tahoma" w:cs="Tahoma"/>
          <w:sz w:val="24"/>
          <w:szCs w:val="24"/>
        </w:rPr>
        <w:t xml:space="preserve">% of our colleagues identify as female, and </w:t>
      </w:r>
      <w:r w:rsidRPr="009C6727">
        <w:rPr>
          <w:rFonts w:ascii="Tahoma" w:hAnsi="Tahoma" w:cs="Tahoma"/>
          <w:sz w:val="24"/>
          <w:szCs w:val="24"/>
        </w:rPr>
        <w:t>59.03</w:t>
      </w:r>
      <w:r w:rsidR="009E2405" w:rsidRPr="009C6727">
        <w:rPr>
          <w:rFonts w:ascii="Tahoma" w:hAnsi="Tahoma" w:cs="Tahoma"/>
          <w:sz w:val="24"/>
          <w:szCs w:val="24"/>
        </w:rPr>
        <w:t xml:space="preserve">% identify as male. Currently, no colleagues </w:t>
      </w:r>
      <w:r w:rsidR="005D6947" w:rsidRPr="009C6727">
        <w:rPr>
          <w:rFonts w:ascii="Tahoma" w:hAnsi="Tahoma" w:cs="Tahoma"/>
          <w:sz w:val="24"/>
          <w:szCs w:val="24"/>
        </w:rPr>
        <w:t xml:space="preserve">identify in any other way. </w:t>
      </w:r>
    </w:p>
    <w:p w14:paraId="591F5E5B" w14:textId="77777777" w:rsidR="003D755A" w:rsidRPr="009C6727" w:rsidRDefault="003D755A" w:rsidP="00FD390F">
      <w:pPr>
        <w:spacing w:after="0" w:line="288" w:lineRule="auto"/>
        <w:jc w:val="both"/>
        <w:rPr>
          <w:rFonts w:ascii="Tahoma" w:hAnsi="Tahoma" w:cs="Tahoma"/>
          <w:sz w:val="24"/>
          <w:szCs w:val="24"/>
        </w:rPr>
      </w:pPr>
    </w:p>
    <w:p w14:paraId="4A425B01" w14:textId="3BD88550" w:rsidR="00D8193D" w:rsidRPr="009C6727" w:rsidRDefault="002D2694" w:rsidP="00D8193D">
      <w:pPr>
        <w:spacing w:after="0" w:line="288" w:lineRule="auto"/>
        <w:jc w:val="both"/>
        <w:rPr>
          <w:rFonts w:ascii="Tahoma" w:hAnsi="Tahoma" w:cs="Tahoma"/>
          <w:sz w:val="24"/>
          <w:szCs w:val="24"/>
        </w:rPr>
      </w:pPr>
      <w:r w:rsidRPr="009C6727">
        <w:rPr>
          <w:rFonts w:ascii="Tahoma" w:hAnsi="Tahoma" w:cs="Tahoma"/>
          <w:sz w:val="24"/>
          <w:szCs w:val="24"/>
        </w:rPr>
        <w:t xml:space="preserve">Our gender split at </w:t>
      </w:r>
      <w:r w:rsidR="00C74418" w:rsidRPr="009C6727">
        <w:rPr>
          <w:rFonts w:ascii="Tahoma" w:hAnsi="Tahoma" w:cs="Tahoma"/>
          <w:sz w:val="24"/>
          <w:szCs w:val="24"/>
        </w:rPr>
        <w:t xml:space="preserve">each </w:t>
      </w:r>
      <w:r w:rsidR="00F3167E" w:rsidRPr="009C6727">
        <w:rPr>
          <w:rFonts w:ascii="Tahoma" w:hAnsi="Tahoma" w:cs="Tahoma"/>
          <w:sz w:val="24"/>
          <w:szCs w:val="24"/>
        </w:rPr>
        <w:t>level</w:t>
      </w:r>
      <w:r w:rsidR="00C74418" w:rsidRPr="009C6727">
        <w:rPr>
          <w:rFonts w:ascii="Tahoma" w:hAnsi="Tahoma" w:cs="Tahoma"/>
          <w:sz w:val="24"/>
          <w:szCs w:val="24"/>
        </w:rPr>
        <w:t xml:space="preserve"> within the organisation is </w:t>
      </w:r>
      <w:r w:rsidR="00134EF9" w:rsidRPr="009C6727">
        <w:rPr>
          <w:rFonts w:ascii="Tahoma" w:hAnsi="Tahoma" w:cs="Tahoma"/>
          <w:sz w:val="24"/>
          <w:szCs w:val="24"/>
        </w:rPr>
        <w:t>shown below</w:t>
      </w:r>
      <w:r w:rsidR="00D8193D" w:rsidRPr="009C6727">
        <w:rPr>
          <w:rFonts w:ascii="Tahoma" w:hAnsi="Tahoma" w:cs="Tahoma"/>
          <w:sz w:val="24"/>
          <w:szCs w:val="24"/>
        </w:rPr>
        <w:t>.  The percentage of female colleagues has increased over the past 12 months</w:t>
      </w:r>
      <w:r w:rsidR="00944394" w:rsidRPr="009C6727">
        <w:rPr>
          <w:rFonts w:ascii="Tahoma" w:hAnsi="Tahoma" w:cs="Tahoma"/>
          <w:sz w:val="24"/>
          <w:szCs w:val="24"/>
        </w:rPr>
        <w:t>,</w:t>
      </w:r>
      <w:r w:rsidR="00D8193D" w:rsidRPr="009C6727">
        <w:rPr>
          <w:rFonts w:ascii="Tahoma" w:hAnsi="Tahoma" w:cs="Tahoma"/>
          <w:sz w:val="24"/>
          <w:szCs w:val="24"/>
        </w:rPr>
        <w:t xml:space="preserve"> and our leadership team has an equal proportion of male and female colleagues.</w:t>
      </w:r>
    </w:p>
    <w:p w14:paraId="1325E4CB" w14:textId="77777777" w:rsidR="00D8193D" w:rsidRPr="009C6727" w:rsidRDefault="00D8193D" w:rsidP="00D8193D">
      <w:pPr>
        <w:spacing w:after="0" w:line="288" w:lineRule="auto"/>
        <w:jc w:val="both"/>
        <w:rPr>
          <w:rFonts w:ascii="Tahoma" w:hAnsi="Tahoma" w:cs="Tahoma"/>
          <w:sz w:val="24"/>
          <w:szCs w:val="24"/>
        </w:rPr>
      </w:pPr>
    </w:p>
    <w:p w14:paraId="72C13E11" w14:textId="43F9B24C" w:rsidR="002D2694" w:rsidRPr="009C6727" w:rsidRDefault="00D8193D" w:rsidP="00FD390F">
      <w:pPr>
        <w:spacing w:after="0" w:line="288" w:lineRule="auto"/>
        <w:jc w:val="both"/>
        <w:rPr>
          <w:rFonts w:ascii="Tahoma" w:hAnsi="Tahoma" w:cs="Tahoma"/>
          <w:sz w:val="24"/>
          <w:szCs w:val="24"/>
        </w:rPr>
      </w:pPr>
      <w:r w:rsidRPr="009C6727">
        <w:rPr>
          <w:rFonts w:ascii="Tahoma" w:hAnsi="Tahoma" w:cs="Tahoma"/>
          <w:sz w:val="24"/>
          <w:szCs w:val="24"/>
        </w:rPr>
        <w:t xml:space="preserve">However, there is still </w:t>
      </w:r>
      <w:r w:rsidR="00134EF9" w:rsidRPr="009C6727">
        <w:rPr>
          <w:rFonts w:ascii="Tahoma" w:hAnsi="Tahoma" w:cs="Tahoma"/>
          <w:sz w:val="24"/>
          <w:szCs w:val="24"/>
        </w:rPr>
        <w:t>a difference between our current representation and that of Preston as a city</w:t>
      </w:r>
      <w:r w:rsidR="000A6296" w:rsidRPr="009C6727">
        <w:rPr>
          <w:rFonts w:ascii="Tahoma" w:hAnsi="Tahoma" w:cs="Tahoma"/>
          <w:sz w:val="24"/>
          <w:szCs w:val="24"/>
        </w:rPr>
        <w:t>,</w:t>
      </w:r>
      <w:r w:rsidR="00134EF9" w:rsidRPr="009C6727">
        <w:rPr>
          <w:rFonts w:ascii="Tahoma" w:hAnsi="Tahoma" w:cs="Tahoma"/>
          <w:sz w:val="24"/>
          <w:szCs w:val="24"/>
        </w:rPr>
        <w:t xml:space="preserve"> and our tenant base.</w:t>
      </w:r>
    </w:p>
    <w:p w14:paraId="4EB66446" w14:textId="77777777" w:rsidR="00F36705" w:rsidRPr="009C6727" w:rsidRDefault="00F36705" w:rsidP="00FD390F">
      <w:pPr>
        <w:spacing w:after="0" w:line="288" w:lineRule="auto"/>
        <w:jc w:val="both"/>
        <w:rPr>
          <w:rFonts w:ascii="Tahoma" w:hAnsi="Tahoma" w:cs="Tahoma"/>
          <w:sz w:val="24"/>
          <w:szCs w:val="24"/>
        </w:rPr>
      </w:pPr>
    </w:p>
    <w:p w14:paraId="0F86594A" w14:textId="77777777" w:rsidR="00FD390F" w:rsidRPr="009C6727" w:rsidRDefault="00FD390F" w:rsidP="00FD390F">
      <w:pPr>
        <w:spacing w:after="0" w:line="288" w:lineRule="auto"/>
        <w:jc w:val="both"/>
        <w:rPr>
          <w:rFonts w:ascii="Tahoma" w:hAnsi="Tahoma" w:cs="Tahoma"/>
          <w:sz w:val="24"/>
          <w:szCs w:val="24"/>
        </w:rPr>
      </w:pPr>
    </w:p>
    <w:tbl>
      <w:tblPr>
        <w:tblStyle w:val="TableGrid"/>
        <w:tblW w:w="0" w:type="auto"/>
        <w:tblLook w:val="04A0" w:firstRow="1" w:lastRow="0" w:firstColumn="1" w:lastColumn="0" w:noHBand="0" w:noVBand="1"/>
      </w:tblPr>
      <w:tblGrid>
        <w:gridCol w:w="1444"/>
        <w:gridCol w:w="1433"/>
        <w:gridCol w:w="1535"/>
        <w:gridCol w:w="1535"/>
        <w:gridCol w:w="1527"/>
        <w:gridCol w:w="1640"/>
        <w:gridCol w:w="1414"/>
      </w:tblGrid>
      <w:tr w:rsidR="0074082F" w:rsidRPr="009C6727" w14:paraId="496566FC" w14:textId="77777777" w:rsidTr="00594B87">
        <w:tc>
          <w:tcPr>
            <w:tcW w:w="1492" w:type="dxa"/>
            <w:shd w:val="clear" w:color="auto" w:fill="012169"/>
          </w:tcPr>
          <w:p w14:paraId="7D0EE9DF" w14:textId="70293D6B" w:rsidR="0074082F" w:rsidRPr="009C6727" w:rsidRDefault="0074082F" w:rsidP="00A30BB1">
            <w:pPr>
              <w:jc w:val="center"/>
              <w:rPr>
                <w:rFonts w:ascii="Tahoma" w:hAnsi="Tahoma" w:cs="Tahoma"/>
                <w:b/>
                <w:bCs/>
                <w:sz w:val="24"/>
                <w:szCs w:val="24"/>
              </w:rPr>
            </w:pPr>
            <w:r w:rsidRPr="009C6727">
              <w:rPr>
                <w:rFonts w:ascii="Tahoma" w:hAnsi="Tahoma" w:cs="Tahoma"/>
                <w:b/>
                <w:bCs/>
                <w:sz w:val="24"/>
                <w:szCs w:val="24"/>
              </w:rPr>
              <w:t>Gender</w:t>
            </w:r>
          </w:p>
        </w:tc>
        <w:tc>
          <w:tcPr>
            <w:tcW w:w="1448" w:type="dxa"/>
            <w:shd w:val="clear" w:color="auto" w:fill="012169"/>
          </w:tcPr>
          <w:p w14:paraId="4A335F3C" w14:textId="392634E7" w:rsidR="0074082F" w:rsidRPr="009C6727" w:rsidRDefault="0074082F" w:rsidP="00A30BB1">
            <w:pPr>
              <w:jc w:val="center"/>
              <w:rPr>
                <w:rFonts w:ascii="Tahoma" w:hAnsi="Tahoma" w:cs="Tahoma"/>
                <w:sz w:val="24"/>
                <w:szCs w:val="24"/>
              </w:rPr>
            </w:pPr>
            <w:r w:rsidRPr="009C6727">
              <w:rPr>
                <w:rFonts w:ascii="Tahoma" w:hAnsi="Tahoma" w:cs="Tahoma"/>
                <w:sz w:val="24"/>
                <w:szCs w:val="24"/>
              </w:rPr>
              <w:t>CGA colleagues &amp; Team Leaders</w:t>
            </w:r>
          </w:p>
        </w:tc>
        <w:tc>
          <w:tcPr>
            <w:tcW w:w="1572" w:type="dxa"/>
            <w:shd w:val="clear" w:color="auto" w:fill="012169"/>
          </w:tcPr>
          <w:p w14:paraId="402F1A68" w14:textId="7168528A" w:rsidR="0074082F" w:rsidRPr="009C6727" w:rsidRDefault="0074082F" w:rsidP="00A30BB1">
            <w:pPr>
              <w:jc w:val="center"/>
              <w:rPr>
                <w:rFonts w:ascii="Tahoma" w:hAnsi="Tahoma" w:cs="Tahoma"/>
                <w:sz w:val="24"/>
                <w:szCs w:val="24"/>
              </w:rPr>
            </w:pPr>
            <w:r w:rsidRPr="009C6727">
              <w:rPr>
                <w:rFonts w:ascii="Tahoma" w:hAnsi="Tahoma" w:cs="Tahoma"/>
                <w:sz w:val="24"/>
                <w:szCs w:val="24"/>
              </w:rPr>
              <w:t>CGA middle managers</w:t>
            </w:r>
          </w:p>
        </w:tc>
        <w:tc>
          <w:tcPr>
            <w:tcW w:w="1572" w:type="dxa"/>
            <w:shd w:val="clear" w:color="auto" w:fill="012169"/>
          </w:tcPr>
          <w:p w14:paraId="6A14CE23" w14:textId="5EC1AD02" w:rsidR="0074082F" w:rsidRPr="009C6727" w:rsidRDefault="0074082F" w:rsidP="00A30BB1">
            <w:pPr>
              <w:jc w:val="center"/>
              <w:rPr>
                <w:rFonts w:ascii="Tahoma" w:hAnsi="Tahoma" w:cs="Tahoma"/>
                <w:sz w:val="24"/>
                <w:szCs w:val="24"/>
              </w:rPr>
            </w:pPr>
            <w:r w:rsidRPr="009C6727">
              <w:rPr>
                <w:rFonts w:ascii="Tahoma" w:hAnsi="Tahoma" w:cs="Tahoma"/>
                <w:sz w:val="24"/>
                <w:szCs w:val="24"/>
              </w:rPr>
              <w:t>CGA senior managers and directors</w:t>
            </w:r>
          </w:p>
        </w:tc>
        <w:tc>
          <w:tcPr>
            <w:tcW w:w="1282" w:type="dxa"/>
            <w:shd w:val="clear" w:color="auto" w:fill="012169"/>
          </w:tcPr>
          <w:p w14:paraId="118EE948" w14:textId="11055792" w:rsidR="0074082F" w:rsidRPr="009C6727" w:rsidRDefault="0074082F" w:rsidP="00A30BB1">
            <w:pPr>
              <w:jc w:val="center"/>
              <w:rPr>
                <w:rFonts w:ascii="Tahoma" w:hAnsi="Tahoma" w:cs="Tahoma"/>
                <w:b/>
                <w:bCs/>
                <w:sz w:val="24"/>
                <w:szCs w:val="24"/>
              </w:rPr>
            </w:pPr>
            <w:r w:rsidRPr="009C6727">
              <w:rPr>
                <w:rFonts w:ascii="Tahoma" w:hAnsi="Tahoma" w:cs="Tahoma"/>
                <w:b/>
                <w:bCs/>
                <w:sz w:val="24"/>
                <w:szCs w:val="24"/>
              </w:rPr>
              <w:t>Overall CGA Colleagues</w:t>
            </w:r>
          </w:p>
          <w:p w14:paraId="772B4FF0" w14:textId="08D6BA43" w:rsidR="0074082F" w:rsidRPr="009C6727" w:rsidRDefault="0074082F" w:rsidP="0074082F">
            <w:pPr>
              <w:rPr>
                <w:rFonts w:ascii="Tahoma" w:hAnsi="Tahoma" w:cs="Tahoma"/>
                <w:b/>
                <w:bCs/>
                <w:sz w:val="24"/>
                <w:szCs w:val="24"/>
              </w:rPr>
            </w:pPr>
          </w:p>
        </w:tc>
        <w:tc>
          <w:tcPr>
            <w:tcW w:w="1706" w:type="dxa"/>
            <w:shd w:val="clear" w:color="auto" w:fill="012169"/>
          </w:tcPr>
          <w:p w14:paraId="3B35040F" w14:textId="761AA4A5" w:rsidR="0074082F" w:rsidRPr="009C6727" w:rsidRDefault="0074082F" w:rsidP="00A30BB1">
            <w:pPr>
              <w:jc w:val="center"/>
              <w:rPr>
                <w:rFonts w:ascii="Tahoma" w:hAnsi="Tahoma" w:cs="Tahoma"/>
                <w:sz w:val="24"/>
                <w:szCs w:val="24"/>
              </w:rPr>
            </w:pPr>
            <w:r w:rsidRPr="009C6727">
              <w:rPr>
                <w:rFonts w:ascii="Tahoma" w:hAnsi="Tahoma" w:cs="Tahoma"/>
                <w:sz w:val="24"/>
                <w:szCs w:val="24"/>
              </w:rPr>
              <w:t>Preston census 2021</w:t>
            </w:r>
          </w:p>
        </w:tc>
        <w:tc>
          <w:tcPr>
            <w:tcW w:w="1456" w:type="dxa"/>
            <w:shd w:val="clear" w:color="auto" w:fill="012169"/>
          </w:tcPr>
          <w:p w14:paraId="7BE98A23" w14:textId="657F86A1" w:rsidR="0074082F" w:rsidRPr="009C6727" w:rsidRDefault="0074082F" w:rsidP="00A30BB1">
            <w:pPr>
              <w:jc w:val="center"/>
              <w:rPr>
                <w:rFonts w:ascii="Tahoma" w:hAnsi="Tahoma" w:cs="Tahoma"/>
                <w:sz w:val="24"/>
                <w:szCs w:val="24"/>
              </w:rPr>
            </w:pPr>
            <w:r w:rsidRPr="009C6727">
              <w:rPr>
                <w:rFonts w:ascii="Tahoma" w:hAnsi="Tahoma" w:cs="Tahoma"/>
                <w:sz w:val="24"/>
                <w:szCs w:val="24"/>
              </w:rPr>
              <w:t>Tenant profile</w:t>
            </w:r>
            <w:r w:rsidR="00DF2343" w:rsidRPr="009C6727">
              <w:rPr>
                <w:rFonts w:ascii="Tahoma" w:hAnsi="Tahoma" w:cs="Tahoma"/>
                <w:sz w:val="24"/>
                <w:szCs w:val="24"/>
              </w:rPr>
              <w:t xml:space="preserve"> </w:t>
            </w:r>
            <w:r w:rsidR="00DF2343" w:rsidRPr="009C6727">
              <w:rPr>
                <w:rFonts w:ascii="Tahoma" w:hAnsi="Tahoma" w:cs="Tahoma"/>
                <w:color w:val="FFFFFF" w:themeColor="background1"/>
                <w:sz w:val="24"/>
                <w:szCs w:val="24"/>
              </w:rPr>
              <w:t>2025</w:t>
            </w:r>
            <w:r w:rsidR="00BC7D8D" w:rsidRPr="009C6727">
              <w:rPr>
                <w:rFonts w:ascii="Tahoma" w:hAnsi="Tahoma" w:cs="Tahoma"/>
                <w:color w:val="FFFFFF" w:themeColor="background1"/>
                <w:sz w:val="24"/>
                <w:szCs w:val="24"/>
              </w:rPr>
              <w:t>/26</w:t>
            </w:r>
          </w:p>
        </w:tc>
      </w:tr>
      <w:tr w:rsidR="0074082F" w:rsidRPr="009C6727" w14:paraId="45203BB5" w14:textId="77777777" w:rsidTr="00594B87">
        <w:tc>
          <w:tcPr>
            <w:tcW w:w="1492" w:type="dxa"/>
          </w:tcPr>
          <w:p w14:paraId="522CBE91" w14:textId="5884D638" w:rsidR="0074082F" w:rsidRPr="009C6727" w:rsidRDefault="0074082F" w:rsidP="00A30BB1">
            <w:pPr>
              <w:jc w:val="center"/>
              <w:rPr>
                <w:rFonts w:ascii="Tahoma" w:hAnsi="Tahoma" w:cs="Tahoma"/>
                <w:b/>
                <w:bCs/>
                <w:sz w:val="24"/>
                <w:szCs w:val="24"/>
              </w:rPr>
            </w:pPr>
            <w:r w:rsidRPr="009C6727">
              <w:rPr>
                <w:rFonts w:ascii="Tahoma" w:hAnsi="Tahoma" w:cs="Tahoma"/>
                <w:b/>
                <w:bCs/>
                <w:sz w:val="24"/>
                <w:szCs w:val="24"/>
              </w:rPr>
              <w:t>Female</w:t>
            </w:r>
          </w:p>
        </w:tc>
        <w:tc>
          <w:tcPr>
            <w:tcW w:w="1448" w:type="dxa"/>
          </w:tcPr>
          <w:p w14:paraId="401AF507" w14:textId="2B3F9904" w:rsidR="0074082F" w:rsidRPr="009C6727" w:rsidRDefault="002B553D" w:rsidP="00A30BB1">
            <w:pPr>
              <w:jc w:val="center"/>
              <w:rPr>
                <w:rFonts w:ascii="Tahoma" w:hAnsi="Tahoma" w:cs="Tahoma"/>
                <w:sz w:val="24"/>
                <w:szCs w:val="24"/>
              </w:rPr>
            </w:pPr>
            <w:r w:rsidRPr="009C6727">
              <w:rPr>
                <w:rFonts w:ascii="Tahoma" w:hAnsi="Tahoma" w:cs="Tahoma"/>
                <w:sz w:val="24"/>
                <w:szCs w:val="24"/>
              </w:rPr>
              <w:t>38.20</w:t>
            </w:r>
            <w:r w:rsidR="0074082F" w:rsidRPr="009C6727">
              <w:rPr>
                <w:rFonts w:ascii="Tahoma" w:hAnsi="Tahoma" w:cs="Tahoma"/>
                <w:sz w:val="24"/>
                <w:szCs w:val="24"/>
              </w:rPr>
              <w:t>%</w:t>
            </w:r>
          </w:p>
        </w:tc>
        <w:tc>
          <w:tcPr>
            <w:tcW w:w="1572" w:type="dxa"/>
          </w:tcPr>
          <w:p w14:paraId="1997A588" w14:textId="536AACE4" w:rsidR="0074082F" w:rsidRPr="009C6727" w:rsidRDefault="00735E36" w:rsidP="00A30BB1">
            <w:pPr>
              <w:jc w:val="center"/>
              <w:rPr>
                <w:rFonts w:ascii="Tahoma" w:hAnsi="Tahoma" w:cs="Tahoma"/>
                <w:sz w:val="24"/>
                <w:szCs w:val="24"/>
              </w:rPr>
            </w:pPr>
            <w:r w:rsidRPr="009C6727">
              <w:rPr>
                <w:rFonts w:ascii="Tahoma" w:hAnsi="Tahoma" w:cs="Tahoma"/>
                <w:sz w:val="24"/>
                <w:szCs w:val="24"/>
              </w:rPr>
              <w:t>61.29</w:t>
            </w:r>
            <w:r w:rsidR="0074082F" w:rsidRPr="009C6727">
              <w:rPr>
                <w:rFonts w:ascii="Tahoma" w:hAnsi="Tahoma" w:cs="Tahoma"/>
                <w:sz w:val="24"/>
                <w:szCs w:val="24"/>
              </w:rPr>
              <w:t>%</w:t>
            </w:r>
          </w:p>
        </w:tc>
        <w:tc>
          <w:tcPr>
            <w:tcW w:w="1572" w:type="dxa"/>
          </w:tcPr>
          <w:p w14:paraId="69B6189D" w14:textId="424A2485" w:rsidR="0074082F" w:rsidRPr="009C6727" w:rsidRDefault="009524DB" w:rsidP="00A30BB1">
            <w:pPr>
              <w:jc w:val="center"/>
              <w:rPr>
                <w:rFonts w:ascii="Tahoma" w:hAnsi="Tahoma" w:cs="Tahoma"/>
                <w:sz w:val="24"/>
                <w:szCs w:val="24"/>
              </w:rPr>
            </w:pPr>
            <w:r w:rsidRPr="009C6727">
              <w:rPr>
                <w:rFonts w:ascii="Tahoma" w:hAnsi="Tahoma" w:cs="Tahoma"/>
                <w:sz w:val="24"/>
                <w:szCs w:val="24"/>
              </w:rPr>
              <w:t>5</w:t>
            </w:r>
            <w:r w:rsidR="0074082F" w:rsidRPr="009C6727">
              <w:rPr>
                <w:rFonts w:ascii="Tahoma" w:hAnsi="Tahoma" w:cs="Tahoma"/>
                <w:sz w:val="24"/>
                <w:szCs w:val="24"/>
              </w:rPr>
              <w:t>0.00%</w:t>
            </w:r>
          </w:p>
        </w:tc>
        <w:tc>
          <w:tcPr>
            <w:tcW w:w="1282" w:type="dxa"/>
          </w:tcPr>
          <w:p w14:paraId="3CBE063F" w14:textId="4F560386" w:rsidR="0074082F" w:rsidRPr="009C6727" w:rsidRDefault="00BC7D8D" w:rsidP="00A30BB1">
            <w:pPr>
              <w:jc w:val="center"/>
              <w:rPr>
                <w:rFonts w:ascii="Tahoma" w:hAnsi="Tahoma" w:cs="Tahoma"/>
                <w:b/>
                <w:bCs/>
                <w:sz w:val="24"/>
                <w:szCs w:val="24"/>
              </w:rPr>
            </w:pPr>
            <w:r w:rsidRPr="009C6727">
              <w:rPr>
                <w:rFonts w:ascii="Tahoma" w:hAnsi="Tahoma" w:cs="Tahoma"/>
                <w:b/>
                <w:bCs/>
                <w:sz w:val="24"/>
                <w:szCs w:val="24"/>
              </w:rPr>
              <w:t>40.97</w:t>
            </w:r>
            <w:r w:rsidR="0074082F" w:rsidRPr="009C6727">
              <w:rPr>
                <w:rFonts w:ascii="Tahoma" w:hAnsi="Tahoma" w:cs="Tahoma"/>
                <w:b/>
                <w:bCs/>
                <w:sz w:val="24"/>
                <w:szCs w:val="24"/>
              </w:rPr>
              <w:t>%</w:t>
            </w:r>
          </w:p>
        </w:tc>
        <w:tc>
          <w:tcPr>
            <w:tcW w:w="1706" w:type="dxa"/>
          </w:tcPr>
          <w:p w14:paraId="09DB2072" w14:textId="53A6B015" w:rsidR="0074082F" w:rsidRPr="009C6727" w:rsidRDefault="0074082F" w:rsidP="00A30BB1">
            <w:pPr>
              <w:jc w:val="center"/>
              <w:rPr>
                <w:rFonts w:ascii="Tahoma" w:hAnsi="Tahoma" w:cs="Tahoma"/>
                <w:sz w:val="24"/>
                <w:szCs w:val="24"/>
              </w:rPr>
            </w:pPr>
            <w:r w:rsidRPr="009C6727">
              <w:rPr>
                <w:rFonts w:ascii="Tahoma" w:hAnsi="Tahoma" w:cs="Tahoma"/>
                <w:sz w:val="24"/>
                <w:szCs w:val="24"/>
              </w:rPr>
              <w:t>50.10%</w:t>
            </w:r>
          </w:p>
        </w:tc>
        <w:tc>
          <w:tcPr>
            <w:tcW w:w="1456" w:type="dxa"/>
          </w:tcPr>
          <w:p w14:paraId="36786DFC" w14:textId="584D77CE" w:rsidR="0074082F" w:rsidRPr="009C6727" w:rsidRDefault="0074082F" w:rsidP="00A30BB1">
            <w:pPr>
              <w:jc w:val="center"/>
              <w:rPr>
                <w:rFonts w:ascii="Tahoma" w:hAnsi="Tahoma" w:cs="Tahoma"/>
                <w:sz w:val="24"/>
                <w:szCs w:val="24"/>
              </w:rPr>
            </w:pPr>
            <w:r w:rsidRPr="009C6727">
              <w:rPr>
                <w:rFonts w:ascii="Tahoma" w:hAnsi="Tahoma" w:cs="Tahoma"/>
                <w:sz w:val="24"/>
                <w:szCs w:val="24"/>
              </w:rPr>
              <w:t>61.</w:t>
            </w:r>
            <w:r w:rsidR="00DE5AA2" w:rsidRPr="009C6727">
              <w:rPr>
                <w:rFonts w:ascii="Tahoma" w:hAnsi="Tahoma" w:cs="Tahoma"/>
                <w:sz w:val="24"/>
                <w:szCs w:val="24"/>
              </w:rPr>
              <w:t>43</w:t>
            </w:r>
            <w:r w:rsidRPr="009C6727">
              <w:rPr>
                <w:rFonts w:ascii="Tahoma" w:hAnsi="Tahoma" w:cs="Tahoma"/>
                <w:sz w:val="24"/>
                <w:szCs w:val="24"/>
              </w:rPr>
              <w:t>%</w:t>
            </w:r>
          </w:p>
        </w:tc>
      </w:tr>
      <w:tr w:rsidR="0074082F" w:rsidRPr="009C6727" w14:paraId="3AB9587A" w14:textId="77777777" w:rsidTr="00594B87">
        <w:tc>
          <w:tcPr>
            <w:tcW w:w="1492" w:type="dxa"/>
          </w:tcPr>
          <w:p w14:paraId="607E69DD" w14:textId="59A29009" w:rsidR="0074082F" w:rsidRPr="009C6727" w:rsidRDefault="0074082F" w:rsidP="00A30BB1">
            <w:pPr>
              <w:jc w:val="center"/>
              <w:rPr>
                <w:rFonts w:ascii="Tahoma" w:hAnsi="Tahoma" w:cs="Tahoma"/>
                <w:b/>
                <w:bCs/>
                <w:sz w:val="24"/>
                <w:szCs w:val="24"/>
              </w:rPr>
            </w:pPr>
            <w:r w:rsidRPr="009C6727">
              <w:rPr>
                <w:rFonts w:ascii="Tahoma" w:hAnsi="Tahoma" w:cs="Tahoma"/>
                <w:b/>
                <w:bCs/>
                <w:sz w:val="24"/>
                <w:szCs w:val="24"/>
              </w:rPr>
              <w:t>Male</w:t>
            </w:r>
          </w:p>
        </w:tc>
        <w:tc>
          <w:tcPr>
            <w:tcW w:w="1448" w:type="dxa"/>
          </w:tcPr>
          <w:p w14:paraId="030A524D" w14:textId="5D14982D" w:rsidR="0074082F" w:rsidRPr="009C6727" w:rsidRDefault="00735E36" w:rsidP="00A30BB1">
            <w:pPr>
              <w:jc w:val="center"/>
              <w:rPr>
                <w:rFonts w:ascii="Tahoma" w:hAnsi="Tahoma" w:cs="Tahoma"/>
                <w:sz w:val="24"/>
                <w:szCs w:val="24"/>
              </w:rPr>
            </w:pPr>
            <w:r w:rsidRPr="009C6727">
              <w:rPr>
                <w:rFonts w:ascii="Tahoma" w:hAnsi="Tahoma" w:cs="Tahoma"/>
                <w:sz w:val="24"/>
                <w:szCs w:val="24"/>
              </w:rPr>
              <w:t>61.80</w:t>
            </w:r>
            <w:r w:rsidR="0074082F" w:rsidRPr="009C6727">
              <w:rPr>
                <w:rFonts w:ascii="Tahoma" w:hAnsi="Tahoma" w:cs="Tahoma"/>
                <w:sz w:val="24"/>
                <w:szCs w:val="24"/>
              </w:rPr>
              <w:t>%</w:t>
            </w:r>
          </w:p>
        </w:tc>
        <w:tc>
          <w:tcPr>
            <w:tcW w:w="1572" w:type="dxa"/>
          </w:tcPr>
          <w:p w14:paraId="6CB02E21" w14:textId="5AD5B867" w:rsidR="0074082F" w:rsidRPr="009C6727" w:rsidRDefault="00735E36" w:rsidP="00A30BB1">
            <w:pPr>
              <w:jc w:val="center"/>
              <w:rPr>
                <w:rFonts w:ascii="Tahoma" w:hAnsi="Tahoma" w:cs="Tahoma"/>
                <w:sz w:val="24"/>
                <w:szCs w:val="24"/>
              </w:rPr>
            </w:pPr>
            <w:r w:rsidRPr="009C6727">
              <w:rPr>
                <w:rFonts w:ascii="Tahoma" w:hAnsi="Tahoma" w:cs="Tahoma"/>
                <w:sz w:val="24"/>
                <w:szCs w:val="24"/>
              </w:rPr>
              <w:t>38.71</w:t>
            </w:r>
            <w:r w:rsidR="0074082F" w:rsidRPr="009C6727">
              <w:rPr>
                <w:rFonts w:ascii="Tahoma" w:hAnsi="Tahoma" w:cs="Tahoma"/>
                <w:sz w:val="24"/>
                <w:szCs w:val="24"/>
              </w:rPr>
              <w:t>%</w:t>
            </w:r>
          </w:p>
        </w:tc>
        <w:tc>
          <w:tcPr>
            <w:tcW w:w="1572" w:type="dxa"/>
          </w:tcPr>
          <w:p w14:paraId="3DE6A8F1" w14:textId="7767885B" w:rsidR="0074082F" w:rsidRPr="009C6727" w:rsidRDefault="009524DB" w:rsidP="00A30BB1">
            <w:pPr>
              <w:jc w:val="center"/>
              <w:rPr>
                <w:rFonts w:ascii="Tahoma" w:hAnsi="Tahoma" w:cs="Tahoma"/>
                <w:sz w:val="24"/>
                <w:szCs w:val="24"/>
              </w:rPr>
            </w:pPr>
            <w:r w:rsidRPr="009C6727">
              <w:rPr>
                <w:rFonts w:ascii="Tahoma" w:hAnsi="Tahoma" w:cs="Tahoma"/>
                <w:sz w:val="24"/>
                <w:szCs w:val="24"/>
              </w:rPr>
              <w:t>5</w:t>
            </w:r>
            <w:r w:rsidR="0074082F" w:rsidRPr="009C6727">
              <w:rPr>
                <w:rFonts w:ascii="Tahoma" w:hAnsi="Tahoma" w:cs="Tahoma"/>
                <w:sz w:val="24"/>
                <w:szCs w:val="24"/>
              </w:rPr>
              <w:t>0.00%</w:t>
            </w:r>
          </w:p>
        </w:tc>
        <w:tc>
          <w:tcPr>
            <w:tcW w:w="1282" w:type="dxa"/>
          </w:tcPr>
          <w:p w14:paraId="36E6E8DB" w14:textId="09792601" w:rsidR="0074082F" w:rsidRPr="009C6727" w:rsidRDefault="00BC7D8D" w:rsidP="00A30BB1">
            <w:pPr>
              <w:jc w:val="center"/>
              <w:rPr>
                <w:rFonts w:ascii="Tahoma" w:hAnsi="Tahoma" w:cs="Tahoma"/>
                <w:b/>
                <w:bCs/>
                <w:sz w:val="24"/>
                <w:szCs w:val="24"/>
              </w:rPr>
            </w:pPr>
            <w:r w:rsidRPr="009C6727">
              <w:rPr>
                <w:rFonts w:ascii="Tahoma" w:hAnsi="Tahoma" w:cs="Tahoma"/>
                <w:b/>
                <w:bCs/>
                <w:sz w:val="24"/>
                <w:szCs w:val="24"/>
              </w:rPr>
              <w:t>59.03</w:t>
            </w:r>
            <w:r w:rsidR="0074082F" w:rsidRPr="009C6727">
              <w:rPr>
                <w:rFonts w:ascii="Tahoma" w:hAnsi="Tahoma" w:cs="Tahoma"/>
                <w:b/>
                <w:bCs/>
                <w:sz w:val="24"/>
                <w:szCs w:val="24"/>
              </w:rPr>
              <w:t>%</w:t>
            </w:r>
          </w:p>
        </w:tc>
        <w:tc>
          <w:tcPr>
            <w:tcW w:w="1706" w:type="dxa"/>
          </w:tcPr>
          <w:p w14:paraId="54EBF041" w14:textId="610278F3" w:rsidR="0074082F" w:rsidRPr="009C6727" w:rsidRDefault="0074082F" w:rsidP="00A30BB1">
            <w:pPr>
              <w:jc w:val="center"/>
              <w:rPr>
                <w:rFonts w:ascii="Tahoma" w:hAnsi="Tahoma" w:cs="Tahoma"/>
                <w:sz w:val="24"/>
                <w:szCs w:val="24"/>
              </w:rPr>
            </w:pPr>
            <w:r w:rsidRPr="009C6727">
              <w:rPr>
                <w:rFonts w:ascii="Tahoma" w:hAnsi="Tahoma" w:cs="Tahoma"/>
                <w:sz w:val="24"/>
                <w:szCs w:val="24"/>
              </w:rPr>
              <w:t>49.90%</w:t>
            </w:r>
          </w:p>
        </w:tc>
        <w:tc>
          <w:tcPr>
            <w:tcW w:w="1456" w:type="dxa"/>
          </w:tcPr>
          <w:p w14:paraId="7A6CCB1F" w14:textId="32A560A7" w:rsidR="0074082F" w:rsidRPr="009C6727" w:rsidRDefault="0074082F" w:rsidP="00A30BB1">
            <w:pPr>
              <w:jc w:val="center"/>
              <w:rPr>
                <w:rFonts w:ascii="Tahoma" w:hAnsi="Tahoma" w:cs="Tahoma"/>
                <w:sz w:val="24"/>
                <w:szCs w:val="24"/>
              </w:rPr>
            </w:pPr>
            <w:r w:rsidRPr="009C6727">
              <w:rPr>
                <w:rFonts w:ascii="Tahoma" w:hAnsi="Tahoma" w:cs="Tahoma"/>
                <w:sz w:val="24"/>
                <w:szCs w:val="24"/>
              </w:rPr>
              <w:t>38.</w:t>
            </w:r>
            <w:r w:rsidR="00DE5AA2" w:rsidRPr="009C6727">
              <w:rPr>
                <w:rFonts w:ascii="Tahoma" w:hAnsi="Tahoma" w:cs="Tahoma"/>
                <w:sz w:val="24"/>
                <w:szCs w:val="24"/>
              </w:rPr>
              <w:t>48</w:t>
            </w:r>
            <w:r w:rsidRPr="009C6727">
              <w:rPr>
                <w:rFonts w:ascii="Tahoma" w:hAnsi="Tahoma" w:cs="Tahoma"/>
                <w:sz w:val="24"/>
                <w:szCs w:val="24"/>
              </w:rPr>
              <w:t>%</w:t>
            </w:r>
          </w:p>
        </w:tc>
      </w:tr>
      <w:tr w:rsidR="005C2C86" w:rsidRPr="009C6727" w14:paraId="1D57A274" w14:textId="77777777" w:rsidTr="00594B87">
        <w:tc>
          <w:tcPr>
            <w:tcW w:w="1492" w:type="dxa"/>
          </w:tcPr>
          <w:p w14:paraId="3767B0E5" w14:textId="14BE2141" w:rsidR="005C2C86" w:rsidRPr="009C6727" w:rsidRDefault="005C2C86" w:rsidP="00A30BB1">
            <w:pPr>
              <w:jc w:val="center"/>
              <w:rPr>
                <w:rFonts w:ascii="Tahoma" w:hAnsi="Tahoma" w:cs="Tahoma"/>
                <w:b/>
                <w:bCs/>
                <w:sz w:val="24"/>
                <w:szCs w:val="24"/>
              </w:rPr>
            </w:pPr>
            <w:r w:rsidRPr="009C6727">
              <w:rPr>
                <w:rFonts w:ascii="Tahoma" w:hAnsi="Tahoma" w:cs="Tahoma"/>
                <w:b/>
                <w:bCs/>
                <w:sz w:val="24"/>
                <w:szCs w:val="24"/>
              </w:rPr>
              <w:t xml:space="preserve">Other </w:t>
            </w:r>
          </w:p>
        </w:tc>
        <w:tc>
          <w:tcPr>
            <w:tcW w:w="1448" w:type="dxa"/>
          </w:tcPr>
          <w:p w14:paraId="1FFA1663" w14:textId="066E137F" w:rsidR="005C2C86" w:rsidRPr="009C6727" w:rsidRDefault="005C2C86" w:rsidP="00A30BB1">
            <w:pPr>
              <w:jc w:val="center"/>
              <w:rPr>
                <w:rFonts w:ascii="Tahoma" w:hAnsi="Tahoma" w:cs="Tahoma"/>
                <w:sz w:val="24"/>
                <w:szCs w:val="24"/>
              </w:rPr>
            </w:pPr>
            <w:r w:rsidRPr="009C6727">
              <w:rPr>
                <w:rFonts w:ascii="Tahoma" w:hAnsi="Tahoma" w:cs="Tahoma"/>
                <w:sz w:val="24"/>
                <w:szCs w:val="24"/>
              </w:rPr>
              <w:t>0.00%</w:t>
            </w:r>
          </w:p>
        </w:tc>
        <w:tc>
          <w:tcPr>
            <w:tcW w:w="1572" w:type="dxa"/>
          </w:tcPr>
          <w:p w14:paraId="58399B98" w14:textId="31842FFC" w:rsidR="005C2C86" w:rsidRPr="009C6727" w:rsidRDefault="005C2C86" w:rsidP="00A30BB1">
            <w:pPr>
              <w:jc w:val="center"/>
              <w:rPr>
                <w:rFonts w:ascii="Tahoma" w:hAnsi="Tahoma" w:cs="Tahoma"/>
                <w:sz w:val="24"/>
                <w:szCs w:val="24"/>
              </w:rPr>
            </w:pPr>
            <w:r w:rsidRPr="009C6727">
              <w:rPr>
                <w:rFonts w:ascii="Tahoma" w:hAnsi="Tahoma" w:cs="Tahoma"/>
                <w:sz w:val="24"/>
                <w:szCs w:val="24"/>
              </w:rPr>
              <w:t>0.00%</w:t>
            </w:r>
          </w:p>
        </w:tc>
        <w:tc>
          <w:tcPr>
            <w:tcW w:w="1572" w:type="dxa"/>
          </w:tcPr>
          <w:p w14:paraId="351308EF" w14:textId="2A06BD58" w:rsidR="005C2C86" w:rsidRPr="009C6727" w:rsidRDefault="005C2C86" w:rsidP="00A30BB1">
            <w:pPr>
              <w:jc w:val="center"/>
              <w:rPr>
                <w:rFonts w:ascii="Tahoma" w:hAnsi="Tahoma" w:cs="Tahoma"/>
                <w:sz w:val="24"/>
                <w:szCs w:val="24"/>
              </w:rPr>
            </w:pPr>
            <w:r w:rsidRPr="009C6727">
              <w:rPr>
                <w:rFonts w:ascii="Tahoma" w:hAnsi="Tahoma" w:cs="Tahoma"/>
                <w:sz w:val="24"/>
                <w:szCs w:val="24"/>
              </w:rPr>
              <w:t>0.00%</w:t>
            </w:r>
          </w:p>
        </w:tc>
        <w:tc>
          <w:tcPr>
            <w:tcW w:w="1282" w:type="dxa"/>
          </w:tcPr>
          <w:p w14:paraId="364A9630" w14:textId="7DAF55D8" w:rsidR="005C2C86" w:rsidRPr="009C6727" w:rsidRDefault="005C2C86" w:rsidP="00A30BB1">
            <w:pPr>
              <w:jc w:val="center"/>
              <w:rPr>
                <w:rFonts w:ascii="Tahoma" w:hAnsi="Tahoma" w:cs="Tahoma"/>
                <w:b/>
                <w:bCs/>
                <w:sz w:val="24"/>
                <w:szCs w:val="24"/>
              </w:rPr>
            </w:pPr>
            <w:r w:rsidRPr="009C6727">
              <w:rPr>
                <w:rFonts w:ascii="Tahoma" w:hAnsi="Tahoma" w:cs="Tahoma"/>
                <w:b/>
                <w:bCs/>
                <w:sz w:val="24"/>
                <w:szCs w:val="24"/>
              </w:rPr>
              <w:t>0.00%</w:t>
            </w:r>
          </w:p>
        </w:tc>
        <w:tc>
          <w:tcPr>
            <w:tcW w:w="1706" w:type="dxa"/>
          </w:tcPr>
          <w:p w14:paraId="66706F59" w14:textId="77EE4EC8" w:rsidR="005C2C86" w:rsidRPr="009C6727" w:rsidRDefault="00594B87" w:rsidP="00A30BB1">
            <w:pPr>
              <w:jc w:val="center"/>
              <w:rPr>
                <w:rFonts w:ascii="Tahoma" w:hAnsi="Tahoma" w:cs="Tahoma"/>
                <w:sz w:val="24"/>
                <w:szCs w:val="24"/>
              </w:rPr>
            </w:pPr>
            <w:r w:rsidRPr="009C6727">
              <w:rPr>
                <w:rFonts w:ascii="Tahoma" w:hAnsi="Tahoma" w:cs="Tahoma"/>
                <w:sz w:val="24"/>
                <w:szCs w:val="24"/>
              </w:rPr>
              <w:t>Not collected</w:t>
            </w:r>
          </w:p>
        </w:tc>
        <w:tc>
          <w:tcPr>
            <w:tcW w:w="1456" w:type="dxa"/>
          </w:tcPr>
          <w:p w14:paraId="026CA737" w14:textId="453C1A89" w:rsidR="005C2C86" w:rsidRPr="009C6727" w:rsidRDefault="005C2C86" w:rsidP="00A30BB1">
            <w:pPr>
              <w:jc w:val="center"/>
              <w:rPr>
                <w:rFonts w:ascii="Tahoma" w:hAnsi="Tahoma" w:cs="Tahoma"/>
                <w:sz w:val="24"/>
                <w:szCs w:val="24"/>
              </w:rPr>
            </w:pPr>
            <w:r w:rsidRPr="009C6727">
              <w:rPr>
                <w:rFonts w:ascii="Tahoma" w:hAnsi="Tahoma" w:cs="Tahoma"/>
                <w:sz w:val="24"/>
                <w:szCs w:val="24"/>
              </w:rPr>
              <w:t>0.04%</w:t>
            </w:r>
          </w:p>
        </w:tc>
      </w:tr>
    </w:tbl>
    <w:p w14:paraId="0DA044B2" w14:textId="77777777" w:rsidR="00A30BB1" w:rsidRPr="009C6727" w:rsidRDefault="00A30BB1" w:rsidP="00FD390F">
      <w:pPr>
        <w:spacing w:after="0" w:line="288" w:lineRule="auto"/>
        <w:jc w:val="both"/>
        <w:rPr>
          <w:rFonts w:ascii="Tahoma" w:hAnsi="Tahoma" w:cs="Tahoma"/>
          <w:sz w:val="24"/>
          <w:szCs w:val="24"/>
        </w:rPr>
      </w:pPr>
    </w:p>
    <w:p w14:paraId="6936005C" w14:textId="6466F9C7" w:rsidR="00CC2246" w:rsidRPr="009C6727" w:rsidRDefault="00E44352" w:rsidP="00FD390F">
      <w:pPr>
        <w:spacing w:after="0" w:line="288" w:lineRule="auto"/>
        <w:jc w:val="both"/>
        <w:rPr>
          <w:rFonts w:ascii="Tahoma" w:hAnsi="Tahoma" w:cs="Tahoma"/>
          <w:b/>
          <w:bCs/>
          <w:color w:val="012169"/>
          <w:sz w:val="24"/>
          <w:szCs w:val="24"/>
        </w:rPr>
      </w:pPr>
      <w:r w:rsidRPr="009C6727">
        <w:rPr>
          <w:rFonts w:ascii="Tahoma" w:hAnsi="Tahoma" w:cs="Tahoma"/>
          <w:b/>
          <w:bCs/>
          <w:color w:val="012169"/>
          <w:sz w:val="24"/>
          <w:szCs w:val="24"/>
        </w:rPr>
        <w:t xml:space="preserve">Age </w:t>
      </w:r>
    </w:p>
    <w:p w14:paraId="7FD38314" w14:textId="77777777" w:rsidR="00C160F6" w:rsidRPr="009C6727" w:rsidRDefault="00C160F6" w:rsidP="00FD390F">
      <w:pPr>
        <w:spacing w:after="0" w:line="288" w:lineRule="auto"/>
        <w:jc w:val="both"/>
        <w:rPr>
          <w:rFonts w:ascii="Tahoma" w:hAnsi="Tahoma" w:cs="Tahoma"/>
          <w:b/>
          <w:bCs/>
          <w:color w:val="012169"/>
          <w:sz w:val="24"/>
          <w:szCs w:val="24"/>
        </w:rPr>
      </w:pPr>
    </w:p>
    <w:p w14:paraId="67FA98A0" w14:textId="586F9299" w:rsidR="00BA7538" w:rsidRPr="009C6727" w:rsidRDefault="00C160F6" w:rsidP="00FD390F">
      <w:pPr>
        <w:spacing w:after="0" w:line="288" w:lineRule="auto"/>
        <w:jc w:val="both"/>
        <w:rPr>
          <w:rFonts w:ascii="Tahoma" w:hAnsi="Tahoma" w:cs="Tahoma"/>
          <w:sz w:val="24"/>
          <w:szCs w:val="24"/>
        </w:rPr>
      </w:pPr>
      <w:r w:rsidRPr="009C6727">
        <w:rPr>
          <w:rFonts w:ascii="Tahoma" w:hAnsi="Tahoma" w:cs="Tahoma"/>
          <w:sz w:val="24"/>
          <w:szCs w:val="24"/>
        </w:rPr>
        <w:t xml:space="preserve">To help shape our colleague wellbeing and benefits offer, we need to understand the age profile of our workforce.  This is also important for workforce planning, so we can </w:t>
      </w:r>
      <w:proofErr w:type="gramStart"/>
      <w:r w:rsidRPr="009C6727">
        <w:rPr>
          <w:rFonts w:ascii="Tahoma" w:hAnsi="Tahoma" w:cs="Tahoma"/>
          <w:sz w:val="24"/>
          <w:szCs w:val="24"/>
        </w:rPr>
        <w:t>plan for the future</w:t>
      </w:r>
      <w:proofErr w:type="gramEnd"/>
      <w:r w:rsidRPr="009C6727">
        <w:rPr>
          <w:rFonts w:ascii="Tahoma" w:hAnsi="Tahoma" w:cs="Tahoma"/>
          <w:sz w:val="24"/>
          <w:szCs w:val="24"/>
        </w:rPr>
        <w:t xml:space="preserve"> and make sure we have the right support and skills in place.  </w:t>
      </w:r>
      <w:r w:rsidR="0083082A" w:rsidRPr="009C6727">
        <w:rPr>
          <w:rFonts w:ascii="Tahoma" w:hAnsi="Tahoma" w:cs="Tahoma"/>
          <w:sz w:val="24"/>
          <w:szCs w:val="24"/>
        </w:rPr>
        <w:t xml:space="preserve">The </w:t>
      </w:r>
      <w:r w:rsidR="00CD2874" w:rsidRPr="009C6727">
        <w:rPr>
          <w:rFonts w:ascii="Tahoma" w:hAnsi="Tahoma" w:cs="Tahoma"/>
          <w:sz w:val="24"/>
          <w:szCs w:val="24"/>
        </w:rPr>
        <w:t xml:space="preserve">following </w:t>
      </w:r>
      <w:r w:rsidR="0083082A" w:rsidRPr="009C6727">
        <w:rPr>
          <w:rFonts w:ascii="Tahoma" w:hAnsi="Tahoma" w:cs="Tahoma"/>
          <w:sz w:val="24"/>
          <w:szCs w:val="24"/>
        </w:rPr>
        <w:t xml:space="preserve">chart shows how we compare to </w:t>
      </w:r>
      <w:r w:rsidR="00CD2874" w:rsidRPr="009C6727">
        <w:rPr>
          <w:rFonts w:ascii="Tahoma" w:hAnsi="Tahoma" w:cs="Tahoma"/>
          <w:sz w:val="24"/>
          <w:szCs w:val="24"/>
        </w:rPr>
        <w:t>previous years</w:t>
      </w:r>
      <w:r w:rsidR="00F8721B" w:rsidRPr="009C6727">
        <w:rPr>
          <w:rFonts w:ascii="Tahoma" w:hAnsi="Tahoma" w:cs="Tahoma"/>
          <w:sz w:val="24"/>
          <w:szCs w:val="24"/>
        </w:rPr>
        <w:t xml:space="preserve">. </w:t>
      </w:r>
    </w:p>
    <w:p w14:paraId="7121935B" w14:textId="77777777" w:rsidR="00F27AAB" w:rsidRPr="009C6727" w:rsidRDefault="00F27AAB" w:rsidP="00FD390F">
      <w:pPr>
        <w:spacing w:after="0" w:line="288" w:lineRule="auto"/>
        <w:jc w:val="both"/>
        <w:rPr>
          <w:rFonts w:ascii="Tahoma" w:hAnsi="Tahoma" w:cs="Tahoma"/>
          <w:sz w:val="24"/>
          <w:szCs w:val="24"/>
        </w:rPr>
      </w:pPr>
    </w:p>
    <w:tbl>
      <w:tblPr>
        <w:tblStyle w:val="TableGrid"/>
        <w:tblW w:w="0" w:type="auto"/>
        <w:tblLook w:val="04A0" w:firstRow="1" w:lastRow="0" w:firstColumn="1" w:lastColumn="0" w:noHBand="0" w:noVBand="1"/>
      </w:tblPr>
      <w:tblGrid>
        <w:gridCol w:w="1694"/>
        <w:gridCol w:w="1924"/>
        <w:gridCol w:w="1977"/>
        <w:gridCol w:w="1409"/>
        <w:gridCol w:w="1709"/>
        <w:gridCol w:w="1815"/>
      </w:tblGrid>
      <w:tr w:rsidR="00C160F6" w:rsidRPr="009C6727" w14:paraId="42E93F5C" w14:textId="77777777" w:rsidTr="00C160F6">
        <w:tc>
          <w:tcPr>
            <w:tcW w:w="1694" w:type="dxa"/>
            <w:shd w:val="clear" w:color="auto" w:fill="012169"/>
          </w:tcPr>
          <w:p w14:paraId="263462C6" w14:textId="77777777" w:rsidR="00C160F6" w:rsidRPr="009C6727" w:rsidRDefault="00C160F6">
            <w:pPr>
              <w:jc w:val="center"/>
              <w:rPr>
                <w:rFonts w:ascii="Tahoma" w:hAnsi="Tahoma" w:cs="Tahoma"/>
                <w:color w:val="FFFFFF" w:themeColor="background1"/>
                <w:sz w:val="24"/>
                <w:szCs w:val="24"/>
              </w:rPr>
            </w:pPr>
            <w:r w:rsidRPr="009C6727">
              <w:rPr>
                <w:rFonts w:ascii="Tahoma" w:hAnsi="Tahoma" w:cs="Tahoma"/>
                <w:color w:val="FFFFFF" w:themeColor="background1"/>
                <w:sz w:val="24"/>
                <w:szCs w:val="24"/>
              </w:rPr>
              <w:t>Age bands</w:t>
            </w:r>
          </w:p>
        </w:tc>
        <w:tc>
          <w:tcPr>
            <w:tcW w:w="1924" w:type="dxa"/>
            <w:shd w:val="clear" w:color="auto" w:fill="012169"/>
          </w:tcPr>
          <w:p w14:paraId="2EDDEED0" w14:textId="06FA474F" w:rsidR="00C160F6" w:rsidRPr="009C6727" w:rsidRDefault="00C160F6">
            <w:pPr>
              <w:jc w:val="center"/>
              <w:rPr>
                <w:rFonts w:ascii="Tahoma" w:hAnsi="Tahoma" w:cs="Tahoma"/>
                <w:color w:val="FFFFFF" w:themeColor="background1"/>
                <w:sz w:val="24"/>
                <w:szCs w:val="24"/>
              </w:rPr>
            </w:pPr>
            <w:r w:rsidRPr="009C6727">
              <w:rPr>
                <w:rFonts w:ascii="Tahoma" w:hAnsi="Tahoma" w:cs="Tahoma"/>
                <w:color w:val="FFFFFF" w:themeColor="background1"/>
                <w:sz w:val="24"/>
                <w:szCs w:val="24"/>
              </w:rPr>
              <w:t>CGA colleagues 2025/26</w:t>
            </w:r>
          </w:p>
        </w:tc>
        <w:tc>
          <w:tcPr>
            <w:tcW w:w="1977" w:type="dxa"/>
            <w:shd w:val="clear" w:color="auto" w:fill="012169"/>
          </w:tcPr>
          <w:p w14:paraId="42BE10A2" w14:textId="46045281" w:rsidR="00C160F6" w:rsidRPr="009C6727" w:rsidRDefault="00C160F6">
            <w:pPr>
              <w:jc w:val="center"/>
              <w:rPr>
                <w:rFonts w:ascii="Tahoma" w:hAnsi="Tahoma" w:cs="Tahoma"/>
                <w:color w:val="FFFFFF" w:themeColor="background1"/>
                <w:sz w:val="24"/>
                <w:szCs w:val="24"/>
              </w:rPr>
            </w:pPr>
            <w:r w:rsidRPr="009C6727">
              <w:rPr>
                <w:rFonts w:ascii="Tahoma" w:hAnsi="Tahoma" w:cs="Tahoma"/>
                <w:color w:val="FFFFFF" w:themeColor="background1"/>
                <w:sz w:val="24"/>
                <w:szCs w:val="24"/>
              </w:rPr>
              <w:t>CGA colleagues 2024/25</w:t>
            </w:r>
          </w:p>
        </w:tc>
        <w:tc>
          <w:tcPr>
            <w:tcW w:w="1409" w:type="dxa"/>
            <w:shd w:val="clear" w:color="auto" w:fill="012169"/>
          </w:tcPr>
          <w:p w14:paraId="23FB61A3" w14:textId="77777777" w:rsidR="00C160F6" w:rsidRPr="009C6727" w:rsidRDefault="00C160F6">
            <w:pPr>
              <w:jc w:val="center"/>
              <w:rPr>
                <w:rFonts w:ascii="Tahoma" w:hAnsi="Tahoma" w:cs="Tahoma"/>
                <w:color w:val="FFFFFF" w:themeColor="background1"/>
                <w:sz w:val="24"/>
                <w:szCs w:val="24"/>
              </w:rPr>
            </w:pPr>
            <w:r w:rsidRPr="009C6727">
              <w:rPr>
                <w:rFonts w:ascii="Tahoma" w:hAnsi="Tahoma" w:cs="Tahoma"/>
                <w:color w:val="FFFFFF"/>
                <w:sz w:val="24"/>
                <w:szCs w:val="24"/>
              </w:rPr>
              <w:t>Percentage Change</w:t>
            </w:r>
          </w:p>
        </w:tc>
        <w:tc>
          <w:tcPr>
            <w:tcW w:w="1709" w:type="dxa"/>
            <w:shd w:val="clear" w:color="auto" w:fill="012169"/>
          </w:tcPr>
          <w:p w14:paraId="7DDD797C" w14:textId="77777777" w:rsidR="00C160F6" w:rsidRPr="009C6727" w:rsidRDefault="00C160F6">
            <w:pPr>
              <w:jc w:val="center"/>
              <w:rPr>
                <w:rFonts w:ascii="Tahoma" w:hAnsi="Tahoma" w:cs="Tahoma"/>
                <w:color w:val="FFFFFF" w:themeColor="background1"/>
                <w:sz w:val="24"/>
                <w:szCs w:val="24"/>
              </w:rPr>
            </w:pPr>
            <w:r w:rsidRPr="009C6727">
              <w:rPr>
                <w:rFonts w:ascii="Tahoma" w:hAnsi="Tahoma" w:cs="Tahoma"/>
                <w:color w:val="FFFFFF" w:themeColor="background1"/>
                <w:sz w:val="24"/>
                <w:szCs w:val="24"/>
              </w:rPr>
              <w:t>Preston census 2021</w:t>
            </w:r>
          </w:p>
        </w:tc>
        <w:tc>
          <w:tcPr>
            <w:tcW w:w="1815" w:type="dxa"/>
            <w:shd w:val="clear" w:color="auto" w:fill="012169"/>
          </w:tcPr>
          <w:p w14:paraId="348A90FE" w14:textId="04365617" w:rsidR="00C160F6" w:rsidRPr="009C6727" w:rsidRDefault="00C160F6">
            <w:pPr>
              <w:jc w:val="center"/>
              <w:rPr>
                <w:rFonts w:ascii="Tahoma" w:hAnsi="Tahoma" w:cs="Tahoma"/>
                <w:color w:val="FFFFFF" w:themeColor="background1"/>
                <w:sz w:val="24"/>
                <w:szCs w:val="24"/>
              </w:rPr>
            </w:pPr>
            <w:r w:rsidRPr="009C6727">
              <w:rPr>
                <w:rFonts w:ascii="Tahoma" w:hAnsi="Tahoma" w:cs="Tahoma"/>
                <w:sz w:val="24"/>
                <w:szCs w:val="24"/>
              </w:rPr>
              <w:t xml:space="preserve">Tenant profile </w:t>
            </w:r>
            <w:r w:rsidRPr="009C6727">
              <w:rPr>
                <w:rFonts w:ascii="Tahoma" w:hAnsi="Tahoma" w:cs="Tahoma"/>
                <w:color w:val="FFFFFF" w:themeColor="background1"/>
                <w:sz w:val="24"/>
                <w:szCs w:val="24"/>
              </w:rPr>
              <w:t>2025/26</w:t>
            </w:r>
          </w:p>
        </w:tc>
      </w:tr>
      <w:tr w:rsidR="004765F5" w:rsidRPr="009C6727" w14:paraId="0D3F8593" w14:textId="77777777" w:rsidTr="009E1883">
        <w:tc>
          <w:tcPr>
            <w:tcW w:w="1694" w:type="dxa"/>
          </w:tcPr>
          <w:p w14:paraId="09307328" w14:textId="77777777" w:rsidR="004765F5" w:rsidRPr="009C6727" w:rsidRDefault="004765F5" w:rsidP="004765F5">
            <w:pPr>
              <w:jc w:val="both"/>
              <w:rPr>
                <w:rFonts w:ascii="Tahoma" w:hAnsi="Tahoma" w:cs="Tahoma"/>
                <w:sz w:val="24"/>
                <w:szCs w:val="24"/>
              </w:rPr>
            </w:pPr>
            <w:r w:rsidRPr="009C6727">
              <w:rPr>
                <w:rFonts w:ascii="Tahoma" w:hAnsi="Tahoma" w:cs="Tahoma"/>
                <w:sz w:val="24"/>
                <w:szCs w:val="24"/>
              </w:rPr>
              <w:t>16-24</w:t>
            </w:r>
          </w:p>
        </w:tc>
        <w:tc>
          <w:tcPr>
            <w:tcW w:w="1924" w:type="dxa"/>
          </w:tcPr>
          <w:p w14:paraId="182DB8F2" w14:textId="2DAD2EA3" w:rsidR="004765F5" w:rsidRPr="009C6727" w:rsidRDefault="004765F5" w:rsidP="004765F5">
            <w:pPr>
              <w:jc w:val="center"/>
              <w:rPr>
                <w:rFonts w:ascii="Tahoma" w:hAnsi="Tahoma" w:cs="Tahoma"/>
                <w:color w:val="000000"/>
                <w:sz w:val="24"/>
                <w:szCs w:val="24"/>
              </w:rPr>
            </w:pPr>
            <w:r w:rsidRPr="009C6727">
              <w:rPr>
                <w:rFonts w:ascii="Tahoma" w:hAnsi="Tahoma" w:cs="Tahoma"/>
                <w:sz w:val="24"/>
                <w:szCs w:val="24"/>
              </w:rPr>
              <w:t>4.84%</w:t>
            </w:r>
          </w:p>
        </w:tc>
        <w:tc>
          <w:tcPr>
            <w:tcW w:w="1977" w:type="dxa"/>
            <w:vAlign w:val="center"/>
          </w:tcPr>
          <w:p w14:paraId="22BE8AFE" w14:textId="63D25C59"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3.85%</w:t>
            </w:r>
          </w:p>
        </w:tc>
        <w:tc>
          <w:tcPr>
            <w:tcW w:w="1409" w:type="dxa"/>
            <w:vAlign w:val="bottom"/>
          </w:tcPr>
          <w:p w14:paraId="71394F33" w14:textId="11E003CD" w:rsidR="004765F5" w:rsidRPr="009C6727" w:rsidRDefault="004765F5" w:rsidP="004765F5">
            <w:pPr>
              <w:jc w:val="center"/>
              <w:rPr>
                <w:rFonts w:ascii="Tahoma" w:hAnsi="Tahoma" w:cs="Tahoma"/>
                <w:color w:val="000000"/>
                <w:sz w:val="24"/>
                <w:szCs w:val="24"/>
              </w:rPr>
            </w:pPr>
            <w:r w:rsidRPr="009C6727">
              <w:rPr>
                <w:rFonts w:ascii="Tahoma" w:hAnsi="Tahoma" w:cs="Tahoma"/>
                <w:color w:val="000000"/>
              </w:rPr>
              <w:t>0.99%</w:t>
            </w:r>
          </w:p>
        </w:tc>
        <w:tc>
          <w:tcPr>
            <w:tcW w:w="1709" w:type="dxa"/>
            <w:vAlign w:val="center"/>
          </w:tcPr>
          <w:p w14:paraId="3EA0594E" w14:textId="77777777"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33.93%</w:t>
            </w:r>
          </w:p>
        </w:tc>
        <w:tc>
          <w:tcPr>
            <w:tcW w:w="1815" w:type="dxa"/>
            <w:vAlign w:val="center"/>
          </w:tcPr>
          <w:p w14:paraId="288EE6F8" w14:textId="0B9D4736"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3.2</w:t>
            </w:r>
            <w:r w:rsidR="0071631C" w:rsidRPr="009C6727">
              <w:rPr>
                <w:rFonts w:ascii="Tahoma" w:hAnsi="Tahoma" w:cs="Tahoma"/>
                <w:color w:val="000000"/>
                <w:sz w:val="24"/>
                <w:szCs w:val="24"/>
              </w:rPr>
              <w:t>9</w:t>
            </w:r>
            <w:r w:rsidRPr="009C6727">
              <w:rPr>
                <w:rFonts w:ascii="Tahoma" w:hAnsi="Tahoma" w:cs="Tahoma"/>
                <w:color w:val="000000"/>
                <w:sz w:val="24"/>
                <w:szCs w:val="24"/>
              </w:rPr>
              <w:t>%</w:t>
            </w:r>
          </w:p>
        </w:tc>
      </w:tr>
      <w:tr w:rsidR="004765F5" w:rsidRPr="009C6727" w14:paraId="6B9572B2" w14:textId="77777777" w:rsidTr="009E1883">
        <w:tc>
          <w:tcPr>
            <w:tcW w:w="1694" w:type="dxa"/>
          </w:tcPr>
          <w:p w14:paraId="58F404D5" w14:textId="77777777" w:rsidR="004765F5" w:rsidRPr="009C6727" w:rsidRDefault="004765F5" w:rsidP="004765F5">
            <w:pPr>
              <w:jc w:val="both"/>
              <w:rPr>
                <w:rFonts w:ascii="Tahoma" w:hAnsi="Tahoma" w:cs="Tahoma"/>
                <w:sz w:val="24"/>
                <w:szCs w:val="24"/>
              </w:rPr>
            </w:pPr>
            <w:r w:rsidRPr="009C6727">
              <w:rPr>
                <w:rFonts w:ascii="Tahoma" w:hAnsi="Tahoma" w:cs="Tahoma"/>
                <w:sz w:val="24"/>
                <w:szCs w:val="24"/>
              </w:rPr>
              <w:t>25-34</w:t>
            </w:r>
          </w:p>
        </w:tc>
        <w:tc>
          <w:tcPr>
            <w:tcW w:w="1924" w:type="dxa"/>
          </w:tcPr>
          <w:p w14:paraId="64299050" w14:textId="67E2FC27" w:rsidR="004765F5" w:rsidRPr="009C6727" w:rsidRDefault="004765F5" w:rsidP="004765F5">
            <w:pPr>
              <w:jc w:val="center"/>
              <w:rPr>
                <w:rFonts w:ascii="Tahoma" w:hAnsi="Tahoma" w:cs="Tahoma"/>
                <w:color w:val="000000"/>
                <w:sz w:val="24"/>
                <w:szCs w:val="24"/>
              </w:rPr>
            </w:pPr>
            <w:r w:rsidRPr="009C6727">
              <w:rPr>
                <w:rFonts w:ascii="Tahoma" w:hAnsi="Tahoma" w:cs="Tahoma"/>
                <w:sz w:val="24"/>
                <w:szCs w:val="24"/>
              </w:rPr>
              <w:t>16.45%</w:t>
            </w:r>
          </w:p>
        </w:tc>
        <w:tc>
          <w:tcPr>
            <w:tcW w:w="1977" w:type="dxa"/>
            <w:vAlign w:val="center"/>
          </w:tcPr>
          <w:p w14:paraId="246A5492" w14:textId="2BCFF653"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17.83%</w:t>
            </w:r>
          </w:p>
        </w:tc>
        <w:tc>
          <w:tcPr>
            <w:tcW w:w="1409" w:type="dxa"/>
            <w:vAlign w:val="bottom"/>
          </w:tcPr>
          <w:p w14:paraId="5CA6CBEF" w14:textId="59FE9D06" w:rsidR="004765F5" w:rsidRPr="009C6727" w:rsidRDefault="004765F5" w:rsidP="004765F5">
            <w:pPr>
              <w:jc w:val="center"/>
              <w:rPr>
                <w:rFonts w:ascii="Tahoma" w:hAnsi="Tahoma" w:cs="Tahoma"/>
                <w:color w:val="000000"/>
                <w:sz w:val="24"/>
                <w:szCs w:val="24"/>
              </w:rPr>
            </w:pPr>
            <w:r w:rsidRPr="009C6727">
              <w:rPr>
                <w:rFonts w:ascii="Tahoma" w:hAnsi="Tahoma" w:cs="Tahoma"/>
                <w:color w:val="000000"/>
              </w:rPr>
              <w:t>-1.38%</w:t>
            </w:r>
          </w:p>
        </w:tc>
        <w:tc>
          <w:tcPr>
            <w:tcW w:w="1709" w:type="dxa"/>
            <w:vAlign w:val="center"/>
          </w:tcPr>
          <w:p w14:paraId="05EA73B5" w14:textId="77777777"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14.71%</w:t>
            </w:r>
          </w:p>
        </w:tc>
        <w:tc>
          <w:tcPr>
            <w:tcW w:w="1815" w:type="dxa"/>
            <w:vAlign w:val="center"/>
          </w:tcPr>
          <w:p w14:paraId="0E659F1A" w14:textId="2AFE0288"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1</w:t>
            </w:r>
            <w:r w:rsidR="00154248" w:rsidRPr="009C6727">
              <w:rPr>
                <w:rFonts w:ascii="Tahoma" w:hAnsi="Tahoma" w:cs="Tahoma"/>
                <w:color w:val="000000"/>
                <w:sz w:val="24"/>
                <w:szCs w:val="24"/>
              </w:rPr>
              <w:t>5.28</w:t>
            </w:r>
            <w:r w:rsidRPr="009C6727">
              <w:rPr>
                <w:rFonts w:ascii="Tahoma" w:hAnsi="Tahoma" w:cs="Tahoma"/>
                <w:color w:val="000000"/>
                <w:sz w:val="24"/>
                <w:szCs w:val="24"/>
              </w:rPr>
              <w:t>%</w:t>
            </w:r>
          </w:p>
        </w:tc>
      </w:tr>
      <w:tr w:rsidR="004765F5" w:rsidRPr="009C6727" w14:paraId="39F86A34" w14:textId="77777777" w:rsidTr="009E1883">
        <w:tc>
          <w:tcPr>
            <w:tcW w:w="1694" w:type="dxa"/>
          </w:tcPr>
          <w:p w14:paraId="5F5E1717" w14:textId="77777777" w:rsidR="004765F5" w:rsidRPr="009C6727" w:rsidRDefault="004765F5" w:rsidP="004765F5">
            <w:pPr>
              <w:jc w:val="both"/>
              <w:rPr>
                <w:rFonts w:ascii="Tahoma" w:hAnsi="Tahoma" w:cs="Tahoma"/>
                <w:sz w:val="24"/>
                <w:szCs w:val="24"/>
              </w:rPr>
            </w:pPr>
            <w:r w:rsidRPr="009C6727">
              <w:rPr>
                <w:rFonts w:ascii="Tahoma" w:hAnsi="Tahoma" w:cs="Tahoma"/>
                <w:sz w:val="24"/>
                <w:szCs w:val="24"/>
              </w:rPr>
              <w:t>35-44</w:t>
            </w:r>
          </w:p>
        </w:tc>
        <w:tc>
          <w:tcPr>
            <w:tcW w:w="1924" w:type="dxa"/>
          </w:tcPr>
          <w:p w14:paraId="4923CE76" w14:textId="09F05550" w:rsidR="004765F5" w:rsidRPr="009C6727" w:rsidRDefault="004765F5" w:rsidP="004765F5">
            <w:pPr>
              <w:jc w:val="center"/>
              <w:rPr>
                <w:rFonts w:ascii="Tahoma" w:hAnsi="Tahoma" w:cs="Tahoma"/>
                <w:color w:val="000000"/>
                <w:sz w:val="24"/>
                <w:szCs w:val="24"/>
              </w:rPr>
            </w:pPr>
            <w:r w:rsidRPr="009C6727">
              <w:rPr>
                <w:rFonts w:ascii="Tahoma" w:hAnsi="Tahoma" w:cs="Tahoma"/>
                <w:sz w:val="24"/>
                <w:szCs w:val="24"/>
              </w:rPr>
              <w:t>32.58%</w:t>
            </w:r>
          </w:p>
        </w:tc>
        <w:tc>
          <w:tcPr>
            <w:tcW w:w="1977" w:type="dxa"/>
            <w:vAlign w:val="center"/>
          </w:tcPr>
          <w:p w14:paraId="37A8B415" w14:textId="2262F37D"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32.87%</w:t>
            </w:r>
          </w:p>
        </w:tc>
        <w:tc>
          <w:tcPr>
            <w:tcW w:w="1409" w:type="dxa"/>
            <w:vAlign w:val="bottom"/>
          </w:tcPr>
          <w:p w14:paraId="5C4CE253" w14:textId="17DAC8F2" w:rsidR="004765F5" w:rsidRPr="009C6727" w:rsidRDefault="004765F5" w:rsidP="004765F5">
            <w:pPr>
              <w:jc w:val="center"/>
              <w:rPr>
                <w:rFonts w:ascii="Tahoma" w:hAnsi="Tahoma" w:cs="Tahoma"/>
                <w:color w:val="000000"/>
                <w:sz w:val="24"/>
                <w:szCs w:val="24"/>
              </w:rPr>
            </w:pPr>
            <w:r w:rsidRPr="009C6727">
              <w:rPr>
                <w:rFonts w:ascii="Tahoma" w:hAnsi="Tahoma" w:cs="Tahoma"/>
                <w:color w:val="000000"/>
              </w:rPr>
              <w:t>-0.29%</w:t>
            </w:r>
          </w:p>
        </w:tc>
        <w:tc>
          <w:tcPr>
            <w:tcW w:w="1709" w:type="dxa"/>
            <w:vAlign w:val="center"/>
          </w:tcPr>
          <w:p w14:paraId="0C937275" w14:textId="77777777"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12.90%</w:t>
            </w:r>
          </w:p>
        </w:tc>
        <w:tc>
          <w:tcPr>
            <w:tcW w:w="1815" w:type="dxa"/>
            <w:vAlign w:val="center"/>
          </w:tcPr>
          <w:p w14:paraId="0F9A9FFD" w14:textId="504EF8F3"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2</w:t>
            </w:r>
            <w:r w:rsidR="00154248" w:rsidRPr="009C6727">
              <w:rPr>
                <w:rFonts w:ascii="Tahoma" w:hAnsi="Tahoma" w:cs="Tahoma"/>
                <w:color w:val="000000"/>
                <w:sz w:val="24"/>
                <w:szCs w:val="24"/>
              </w:rPr>
              <w:t>2.63</w:t>
            </w:r>
            <w:r w:rsidRPr="009C6727">
              <w:rPr>
                <w:rFonts w:ascii="Tahoma" w:hAnsi="Tahoma" w:cs="Tahoma"/>
                <w:color w:val="000000"/>
                <w:sz w:val="24"/>
                <w:szCs w:val="24"/>
              </w:rPr>
              <w:t>%</w:t>
            </w:r>
          </w:p>
        </w:tc>
      </w:tr>
      <w:tr w:rsidR="004765F5" w:rsidRPr="009C6727" w14:paraId="39E06FA8" w14:textId="77777777" w:rsidTr="009E1883">
        <w:tc>
          <w:tcPr>
            <w:tcW w:w="1694" w:type="dxa"/>
          </w:tcPr>
          <w:p w14:paraId="0A0F16B3" w14:textId="77777777" w:rsidR="004765F5" w:rsidRPr="009C6727" w:rsidRDefault="004765F5" w:rsidP="004765F5">
            <w:pPr>
              <w:jc w:val="both"/>
              <w:rPr>
                <w:rFonts w:ascii="Tahoma" w:hAnsi="Tahoma" w:cs="Tahoma"/>
                <w:sz w:val="24"/>
                <w:szCs w:val="24"/>
              </w:rPr>
            </w:pPr>
            <w:r w:rsidRPr="009C6727">
              <w:rPr>
                <w:rFonts w:ascii="Tahoma" w:hAnsi="Tahoma" w:cs="Tahoma"/>
                <w:sz w:val="24"/>
                <w:szCs w:val="24"/>
              </w:rPr>
              <w:t>45-54</w:t>
            </w:r>
          </w:p>
        </w:tc>
        <w:tc>
          <w:tcPr>
            <w:tcW w:w="1924" w:type="dxa"/>
          </w:tcPr>
          <w:p w14:paraId="28A0F2ED" w14:textId="64059C2D" w:rsidR="004765F5" w:rsidRPr="009C6727" w:rsidRDefault="004765F5" w:rsidP="004765F5">
            <w:pPr>
              <w:jc w:val="center"/>
              <w:rPr>
                <w:rFonts w:ascii="Tahoma" w:hAnsi="Tahoma" w:cs="Tahoma"/>
                <w:color w:val="000000"/>
                <w:sz w:val="24"/>
                <w:szCs w:val="24"/>
              </w:rPr>
            </w:pPr>
            <w:r w:rsidRPr="009C6727">
              <w:rPr>
                <w:rFonts w:ascii="Tahoma" w:hAnsi="Tahoma" w:cs="Tahoma"/>
                <w:sz w:val="24"/>
                <w:szCs w:val="24"/>
              </w:rPr>
              <w:t>25.16%</w:t>
            </w:r>
          </w:p>
        </w:tc>
        <w:tc>
          <w:tcPr>
            <w:tcW w:w="1977" w:type="dxa"/>
            <w:vAlign w:val="center"/>
          </w:tcPr>
          <w:p w14:paraId="7FE68147" w14:textId="71D8E39D"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24.48%</w:t>
            </w:r>
          </w:p>
        </w:tc>
        <w:tc>
          <w:tcPr>
            <w:tcW w:w="1409" w:type="dxa"/>
            <w:vAlign w:val="bottom"/>
          </w:tcPr>
          <w:p w14:paraId="4D1109EF" w14:textId="3F5BB69E" w:rsidR="004765F5" w:rsidRPr="009C6727" w:rsidRDefault="004765F5" w:rsidP="004765F5">
            <w:pPr>
              <w:jc w:val="center"/>
              <w:rPr>
                <w:rFonts w:ascii="Tahoma" w:hAnsi="Tahoma" w:cs="Tahoma"/>
                <w:color w:val="000000"/>
                <w:sz w:val="24"/>
                <w:szCs w:val="24"/>
              </w:rPr>
            </w:pPr>
            <w:r w:rsidRPr="009C6727">
              <w:rPr>
                <w:rFonts w:ascii="Tahoma" w:hAnsi="Tahoma" w:cs="Tahoma"/>
                <w:color w:val="000000"/>
              </w:rPr>
              <w:t>0.68%</w:t>
            </w:r>
          </w:p>
        </w:tc>
        <w:tc>
          <w:tcPr>
            <w:tcW w:w="1709" w:type="dxa"/>
            <w:vAlign w:val="center"/>
          </w:tcPr>
          <w:p w14:paraId="21B70146" w14:textId="77777777"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12.48%</w:t>
            </w:r>
          </w:p>
        </w:tc>
        <w:tc>
          <w:tcPr>
            <w:tcW w:w="1815" w:type="dxa"/>
            <w:vAlign w:val="center"/>
          </w:tcPr>
          <w:p w14:paraId="04B8A00B" w14:textId="425B4CCC"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19</w:t>
            </w:r>
            <w:r w:rsidR="00154248" w:rsidRPr="009C6727">
              <w:rPr>
                <w:rFonts w:ascii="Tahoma" w:hAnsi="Tahoma" w:cs="Tahoma"/>
                <w:color w:val="000000"/>
                <w:sz w:val="24"/>
                <w:szCs w:val="24"/>
              </w:rPr>
              <w:t>.23</w:t>
            </w:r>
            <w:r w:rsidRPr="009C6727">
              <w:rPr>
                <w:rFonts w:ascii="Tahoma" w:hAnsi="Tahoma" w:cs="Tahoma"/>
                <w:color w:val="000000"/>
                <w:sz w:val="24"/>
                <w:szCs w:val="24"/>
              </w:rPr>
              <w:t>%</w:t>
            </w:r>
          </w:p>
        </w:tc>
      </w:tr>
      <w:tr w:rsidR="004765F5" w:rsidRPr="009C6727" w14:paraId="7D1F80EC" w14:textId="77777777" w:rsidTr="009E1883">
        <w:trPr>
          <w:trHeight w:val="70"/>
        </w:trPr>
        <w:tc>
          <w:tcPr>
            <w:tcW w:w="1694" w:type="dxa"/>
          </w:tcPr>
          <w:p w14:paraId="72285991" w14:textId="77777777" w:rsidR="004765F5" w:rsidRPr="009C6727" w:rsidRDefault="004765F5" w:rsidP="004765F5">
            <w:pPr>
              <w:jc w:val="both"/>
              <w:rPr>
                <w:rFonts w:ascii="Tahoma" w:hAnsi="Tahoma" w:cs="Tahoma"/>
                <w:sz w:val="24"/>
                <w:szCs w:val="24"/>
              </w:rPr>
            </w:pPr>
            <w:r w:rsidRPr="009C6727">
              <w:rPr>
                <w:rFonts w:ascii="Tahoma" w:hAnsi="Tahoma" w:cs="Tahoma"/>
                <w:sz w:val="24"/>
                <w:szCs w:val="24"/>
              </w:rPr>
              <w:t>55-64</w:t>
            </w:r>
          </w:p>
        </w:tc>
        <w:tc>
          <w:tcPr>
            <w:tcW w:w="1924" w:type="dxa"/>
          </w:tcPr>
          <w:p w14:paraId="474F60DB" w14:textId="46455A71" w:rsidR="004765F5" w:rsidRPr="009C6727" w:rsidRDefault="004765F5" w:rsidP="004765F5">
            <w:pPr>
              <w:jc w:val="center"/>
              <w:rPr>
                <w:rFonts w:ascii="Tahoma" w:hAnsi="Tahoma" w:cs="Tahoma"/>
                <w:color w:val="000000"/>
                <w:sz w:val="24"/>
                <w:szCs w:val="24"/>
              </w:rPr>
            </w:pPr>
            <w:r w:rsidRPr="009C6727">
              <w:rPr>
                <w:rFonts w:ascii="Tahoma" w:hAnsi="Tahoma" w:cs="Tahoma"/>
                <w:sz w:val="24"/>
                <w:szCs w:val="24"/>
              </w:rPr>
              <w:t>19.68%</w:t>
            </w:r>
          </w:p>
        </w:tc>
        <w:tc>
          <w:tcPr>
            <w:tcW w:w="1977" w:type="dxa"/>
            <w:vAlign w:val="center"/>
          </w:tcPr>
          <w:p w14:paraId="11011234" w14:textId="5E358C2C"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19.58%</w:t>
            </w:r>
          </w:p>
        </w:tc>
        <w:tc>
          <w:tcPr>
            <w:tcW w:w="1409" w:type="dxa"/>
            <w:vAlign w:val="bottom"/>
          </w:tcPr>
          <w:p w14:paraId="10CEB3E4" w14:textId="3C79A8E9" w:rsidR="004765F5" w:rsidRPr="009C6727" w:rsidRDefault="004765F5" w:rsidP="004765F5">
            <w:pPr>
              <w:jc w:val="center"/>
              <w:rPr>
                <w:rFonts w:ascii="Tahoma" w:hAnsi="Tahoma" w:cs="Tahoma"/>
                <w:color w:val="000000"/>
                <w:sz w:val="24"/>
                <w:szCs w:val="24"/>
              </w:rPr>
            </w:pPr>
            <w:r w:rsidRPr="009C6727">
              <w:rPr>
                <w:rFonts w:ascii="Tahoma" w:hAnsi="Tahoma" w:cs="Tahoma"/>
                <w:color w:val="000000"/>
              </w:rPr>
              <w:t>0.10%</w:t>
            </w:r>
          </w:p>
        </w:tc>
        <w:tc>
          <w:tcPr>
            <w:tcW w:w="1709" w:type="dxa"/>
            <w:vAlign w:val="center"/>
          </w:tcPr>
          <w:p w14:paraId="64D7DD36" w14:textId="77777777"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11.50%</w:t>
            </w:r>
          </w:p>
        </w:tc>
        <w:tc>
          <w:tcPr>
            <w:tcW w:w="1815" w:type="dxa"/>
            <w:vAlign w:val="center"/>
          </w:tcPr>
          <w:p w14:paraId="484E40FA" w14:textId="29848510"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17.</w:t>
            </w:r>
            <w:r w:rsidR="00154248" w:rsidRPr="009C6727">
              <w:rPr>
                <w:rFonts w:ascii="Tahoma" w:hAnsi="Tahoma" w:cs="Tahoma"/>
                <w:color w:val="000000"/>
                <w:sz w:val="24"/>
                <w:szCs w:val="24"/>
              </w:rPr>
              <w:t>65</w:t>
            </w:r>
            <w:r w:rsidRPr="009C6727">
              <w:rPr>
                <w:rFonts w:ascii="Tahoma" w:hAnsi="Tahoma" w:cs="Tahoma"/>
                <w:color w:val="000000"/>
                <w:sz w:val="24"/>
                <w:szCs w:val="24"/>
              </w:rPr>
              <w:t>%</w:t>
            </w:r>
          </w:p>
        </w:tc>
      </w:tr>
      <w:tr w:rsidR="004765F5" w:rsidRPr="009C6727" w14:paraId="2DCF586B" w14:textId="77777777" w:rsidTr="009E1883">
        <w:tc>
          <w:tcPr>
            <w:tcW w:w="1694" w:type="dxa"/>
          </w:tcPr>
          <w:p w14:paraId="3CA1D03A" w14:textId="77777777" w:rsidR="004765F5" w:rsidRPr="009C6727" w:rsidRDefault="004765F5" w:rsidP="004765F5">
            <w:pPr>
              <w:jc w:val="both"/>
              <w:rPr>
                <w:rFonts w:ascii="Tahoma" w:hAnsi="Tahoma" w:cs="Tahoma"/>
                <w:sz w:val="24"/>
                <w:szCs w:val="24"/>
              </w:rPr>
            </w:pPr>
            <w:r w:rsidRPr="009C6727">
              <w:rPr>
                <w:rFonts w:ascii="Tahoma" w:hAnsi="Tahoma" w:cs="Tahoma"/>
                <w:sz w:val="24"/>
                <w:szCs w:val="24"/>
              </w:rPr>
              <w:t>65 and over</w:t>
            </w:r>
          </w:p>
        </w:tc>
        <w:tc>
          <w:tcPr>
            <w:tcW w:w="1924" w:type="dxa"/>
          </w:tcPr>
          <w:p w14:paraId="3FD86CD6" w14:textId="6DAB70B2" w:rsidR="004765F5" w:rsidRPr="009C6727" w:rsidRDefault="004765F5" w:rsidP="004765F5">
            <w:pPr>
              <w:jc w:val="center"/>
              <w:rPr>
                <w:rFonts w:ascii="Tahoma" w:hAnsi="Tahoma" w:cs="Tahoma"/>
                <w:color w:val="000000"/>
                <w:sz w:val="24"/>
                <w:szCs w:val="24"/>
              </w:rPr>
            </w:pPr>
            <w:r w:rsidRPr="009C6727">
              <w:rPr>
                <w:rFonts w:ascii="Tahoma" w:hAnsi="Tahoma" w:cs="Tahoma"/>
                <w:sz w:val="24"/>
                <w:szCs w:val="24"/>
              </w:rPr>
              <w:t>1.29%</w:t>
            </w:r>
          </w:p>
        </w:tc>
        <w:tc>
          <w:tcPr>
            <w:tcW w:w="1977" w:type="dxa"/>
            <w:vAlign w:val="center"/>
          </w:tcPr>
          <w:p w14:paraId="26BE0987" w14:textId="7E272C38"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1.40%</w:t>
            </w:r>
          </w:p>
        </w:tc>
        <w:tc>
          <w:tcPr>
            <w:tcW w:w="1409" w:type="dxa"/>
            <w:vAlign w:val="bottom"/>
          </w:tcPr>
          <w:p w14:paraId="4BFCBC2E" w14:textId="2251C07F" w:rsidR="004765F5" w:rsidRPr="009C6727" w:rsidRDefault="004765F5" w:rsidP="004765F5">
            <w:pPr>
              <w:jc w:val="center"/>
              <w:rPr>
                <w:rFonts w:ascii="Tahoma" w:hAnsi="Tahoma" w:cs="Tahoma"/>
                <w:color w:val="000000"/>
                <w:sz w:val="24"/>
                <w:szCs w:val="24"/>
              </w:rPr>
            </w:pPr>
            <w:r w:rsidRPr="009C6727">
              <w:rPr>
                <w:rFonts w:ascii="Tahoma" w:hAnsi="Tahoma" w:cs="Tahoma"/>
                <w:color w:val="000000"/>
              </w:rPr>
              <w:t>-0.11%</w:t>
            </w:r>
          </w:p>
        </w:tc>
        <w:tc>
          <w:tcPr>
            <w:tcW w:w="1709" w:type="dxa"/>
            <w:vAlign w:val="center"/>
          </w:tcPr>
          <w:p w14:paraId="39CC1B1C" w14:textId="77777777"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14.75%</w:t>
            </w:r>
          </w:p>
        </w:tc>
        <w:tc>
          <w:tcPr>
            <w:tcW w:w="1815" w:type="dxa"/>
            <w:vAlign w:val="center"/>
          </w:tcPr>
          <w:p w14:paraId="6638D850" w14:textId="7B4130EC" w:rsidR="004765F5" w:rsidRPr="009C6727" w:rsidRDefault="004765F5" w:rsidP="004765F5">
            <w:pPr>
              <w:jc w:val="center"/>
              <w:rPr>
                <w:rFonts w:ascii="Tahoma" w:hAnsi="Tahoma" w:cs="Tahoma"/>
                <w:sz w:val="24"/>
                <w:szCs w:val="24"/>
              </w:rPr>
            </w:pPr>
            <w:r w:rsidRPr="009C6727">
              <w:rPr>
                <w:rFonts w:ascii="Tahoma" w:hAnsi="Tahoma" w:cs="Tahoma"/>
                <w:color w:val="000000"/>
                <w:sz w:val="24"/>
                <w:szCs w:val="24"/>
              </w:rPr>
              <w:t>21.</w:t>
            </w:r>
            <w:r w:rsidR="00154248" w:rsidRPr="009C6727">
              <w:rPr>
                <w:rFonts w:ascii="Tahoma" w:hAnsi="Tahoma" w:cs="Tahoma"/>
                <w:color w:val="000000"/>
                <w:sz w:val="24"/>
                <w:szCs w:val="24"/>
              </w:rPr>
              <w:t>92</w:t>
            </w:r>
            <w:r w:rsidRPr="009C6727">
              <w:rPr>
                <w:rFonts w:ascii="Tahoma" w:hAnsi="Tahoma" w:cs="Tahoma"/>
                <w:color w:val="000000"/>
                <w:sz w:val="24"/>
                <w:szCs w:val="24"/>
              </w:rPr>
              <w:t>%</w:t>
            </w:r>
          </w:p>
        </w:tc>
      </w:tr>
    </w:tbl>
    <w:p w14:paraId="434DF50C" w14:textId="77777777" w:rsidR="00FD390F" w:rsidRPr="009C6727" w:rsidRDefault="00FD390F" w:rsidP="00FD390F">
      <w:pPr>
        <w:spacing w:after="0" w:line="288" w:lineRule="auto"/>
        <w:jc w:val="both"/>
        <w:rPr>
          <w:rFonts w:ascii="Tahoma" w:hAnsi="Tahoma" w:cs="Tahoma"/>
          <w:sz w:val="24"/>
          <w:szCs w:val="24"/>
        </w:rPr>
      </w:pPr>
    </w:p>
    <w:p w14:paraId="65459C9E" w14:textId="39B67B48" w:rsidR="00D33815" w:rsidRPr="009C6727" w:rsidRDefault="00D33815" w:rsidP="00D33815">
      <w:pPr>
        <w:spacing w:after="0" w:line="288" w:lineRule="auto"/>
        <w:jc w:val="both"/>
        <w:rPr>
          <w:rFonts w:ascii="Tahoma" w:hAnsi="Tahoma" w:cs="Tahoma"/>
          <w:sz w:val="24"/>
          <w:szCs w:val="24"/>
        </w:rPr>
      </w:pPr>
      <w:r w:rsidRPr="009C6727">
        <w:rPr>
          <w:rFonts w:ascii="Tahoma" w:hAnsi="Tahoma" w:cs="Tahoma"/>
          <w:sz w:val="24"/>
          <w:szCs w:val="24"/>
        </w:rPr>
        <w:t xml:space="preserve">We have compared our workforce data with local census data and information about our tenants. </w:t>
      </w:r>
    </w:p>
    <w:p w14:paraId="40E60B45" w14:textId="0D4C5B81" w:rsidR="00A90673" w:rsidRPr="009C6727" w:rsidRDefault="004F47FB" w:rsidP="00D33815">
      <w:pPr>
        <w:spacing w:after="0" w:line="288" w:lineRule="auto"/>
        <w:jc w:val="both"/>
        <w:rPr>
          <w:rFonts w:ascii="Tahoma" w:hAnsi="Tahoma" w:cs="Tahoma"/>
          <w:sz w:val="24"/>
          <w:szCs w:val="24"/>
        </w:rPr>
      </w:pPr>
      <w:r w:rsidRPr="009C6727">
        <w:rPr>
          <w:rFonts w:ascii="Tahoma" w:hAnsi="Tahoma" w:cs="Tahoma"/>
          <w:sz w:val="24"/>
          <w:szCs w:val="24"/>
        </w:rPr>
        <w:t>Our workforce is likely to have fewer 16–</w:t>
      </w:r>
      <w:r w:rsidR="00623E5B" w:rsidRPr="009C6727">
        <w:rPr>
          <w:rFonts w:ascii="Tahoma" w:hAnsi="Tahoma" w:cs="Tahoma"/>
          <w:sz w:val="24"/>
          <w:szCs w:val="24"/>
        </w:rPr>
        <w:t>24-year-olds</w:t>
      </w:r>
      <w:r w:rsidRPr="009C6727">
        <w:rPr>
          <w:rFonts w:ascii="Tahoma" w:hAnsi="Tahoma" w:cs="Tahoma"/>
          <w:sz w:val="24"/>
          <w:szCs w:val="24"/>
        </w:rPr>
        <w:t xml:space="preserve"> than the local population, due to the school leaving age</w:t>
      </w:r>
      <w:r w:rsidR="00740D92" w:rsidRPr="009C6727">
        <w:rPr>
          <w:rFonts w:ascii="Tahoma" w:hAnsi="Tahoma" w:cs="Tahoma"/>
          <w:sz w:val="24"/>
          <w:szCs w:val="24"/>
        </w:rPr>
        <w:t xml:space="preserve"> and the fact that </w:t>
      </w:r>
      <w:r w:rsidRPr="009C6727">
        <w:rPr>
          <w:rFonts w:ascii="Tahoma" w:hAnsi="Tahoma" w:cs="Tahoma"/>
          <w:sz w:val="24"/>
          <w:szCs w:val="24"/>
        </w:rPr>
        <w:t xml:space="preserve">many people stay in education </w:t>
      </w:r>
      <w:r w:rsidR="00740D92" w:rsidRPr="009C6727">
        <w:rPr>
          <w:rFonts w:ascii="Tahoma" w:hAnsi="Tahoma" w:cs="Tahoma"/>
          <w:sz w:val="24"/>
          <w:szCs w:val="24"/>
        </w:rPr>
        <w:t xml:space="preserve">beyond this.  </w:t>
      </w:r>
    </w:p>
    <w:p w14:paraId="4A2CFE44" w14:textId="77777777" w:rsidR="00572865" w:rsidRPr="009C6727" w:rsidRDefault="00572865" w:rsidP="00D33815">
      <w:pPr>
        <w:spacing w:after="0" w:line="288" w:lineRule="auto"/>
        <w:jc w:val="both"/>
        <w:rPr>
          <w:rFonts w:ascii="Tahoma" w:hAnsi="Tahoma" w:cs="Tahoma"/>
          <w:sz w:val="24"/>
          <w:szCs w:val="24"/>
        </w:rPr>
      </w:pPr>
    </w:p>
    <w:p w14:paraId="3A9654CE" w14:textId="78302A5B" w:rsidR="00D33815" w:rsidRPr="009C6727" w:rsidRDefault="00D33815" w:rsidP="00D33815">
      <w:pPr>
        <w:spacing w:after="0" w:line="288" w:lineRule="auto"/>
        <w:jc w:val="both"/>
        <w:rPr>
          <w:rFonts w:ascii="Tahoma" w:hAnsi="Tahoma" w:cs="Tahoma"/>
          <w:sz w:val="24"/>
          <w:szCs w:val="24"/>
        </w:rPr>
      </w:pPr>
      <w:r w:rsidRPr="009C6727">
        <w:rPr>
          <w:rFonts w:ascii="Tahoma" w:hAnsi="Tahoma" w:cs="Tahoma"/>
          <w:sz w:val="24"/>
          <w:szCs w:val="24"/>
        </w:rPr>
        <w:t xml:space="preserve">There are more people aged 65 and over living in our properties than in our workforce. This is not surprising, as people </w:t>
      </w:r>
      <w:r w:rsidR="0085017C" w:rsidRPr="009C6727">
        <w:rPr>
          <w:rFonts w:ascii="Tahoma" w:hAnsi="Tahoma" w:cs="Tahoma"/>
          <w:sz w:val="24"/>
          <w:szCs w:val="24"/>
        </w:rPr>
        <w:t>may</w:t>
      </w:r>
      <w:r w:rsidRPr="009C6727">
        <w:rPr>
          <w:rFonts w:ascii="Tahoma" w:hAnsi="Tahoma" w:cs="Tahoma"/>
          <w:sz w:val="24"/>
          <w:szCs w:val="24"/>
        </w:rPr>
        <w:t xml:space="preserve"> retire around this age and we provide </w:t>
      </w:r>
      <w:r w:rsidR="000F0D79" w:rsidRPr="009C6727">
        <w:rPr>
          <w:rFonts w:ascii="Tahoma" w:hAnsi="Tahoma" w:cs="Tahoma"/>
          <w:sz w:val="24"/>
          <w:szCs w:val="24"/>
        </w:rPr>
        <w:t>many</w:t>
      </w:r>
      <w:r w:rsidRPr="009C6727">
        <w:rPr>
          <w:rFonts w:ascii="Tahoma" w:hAnsi="Tahoma" w:cs="Tahoma"/>
          <w:sz w:val="24"/>
          <w:szCs w:val="24"/>
        </w:rPr>
        <w:t xml:space="preserve"> homes for older people.</w:t>
      </w:r>
    </w:p>
    <w:p w14:paraId="4C944789" w14:textId="77777777" w:rsidR="00FD390F" w:rsidRPr="009C6727" w:rsidRDefault="00FD390F" w:rsidP="00FD390F">
      <w:pPr>
        <w:spacing w:after="0" w:line="288" w:lineRule="auto"/>
        <w:jc w:val="both"/>
        <w:rPr>
          <w:rFonts w:ascii="Tahoma" w:hAnsi="Tahoma" w:cs="Tahoma"/>
          <w:sz w:val="24"/>
          <w:szCs w:val="24"/>
        </w:rPr>
      </w:pPr>
    </w:p>
    <w:p w14:paraId="1C65055A" w14:textId="579B1DE0" w:rsidR="00CC2246" w:rsidRPr="009C6727" w:rsidRDefault="00F81210" w:rsidP="00FD390F">
      <w:pPr>
        <w:spacing w:after="0" w:line="288" w:lineRule="auto"/>
        <w:jc w:val="both"/>
        <w:rPr>
          <w:rFonts w:ascii="Tahoma" w:hAnsi="Tahoma" w:cs="Tahoma"/>
          <w:b/>
          <w:bCs/>
          <w:color w:val="012169"/>
          <w:sz w:val="24"/>
          <w:szCs w:val="24"/>
        </w:rPr>
      </w:pPr>
      <w:r w:rsidRPr="009C6727">
        <w:rPr>
          <w:rFonts w:ascii="Tahoma" w:hAnsi="Tahoma" w:cs="Tahoma"/>
          <w:b/>
          <w:bCs/>
          <w:color w:val="012169"/>
          <w:sz w:val="24"/>
          <w:szCs w:val="24"/>
        </w:rPr>
        <w:t>Ethnicity</w:t>
      </w:r>
    </w:p>
    <w:p w14:paraId="0BEE7E1F" w14:textId="09BA41B5" w:rsidR="007155BC" w:rsidRPr="009C6727" w:rsidRDefault="007155BC" w:rsidP="007155BC">
      <w:pPr>
        <w:spacing w:after="0" w:line="288" w:lineRule="auto"/>
        <w:jc w:val="both"/>
        <w:rPr>
          <w:rFonts w:ascii="Tahoma" w:hAnsi="Tahoma" w:cs="Tahoma"/>
          <w:sz w:val="24"/>
          <w:szCs w:val="24"/>
        </w:rPr>
      </w:pPr>
      <w:r w:rsidRPr="009C6727">
        <w:rPr>
          <w:rFonts w:ascii="Tahoma" w:hAnsi="Tahoma" w:cs="Tahoma"/>
          <w:sz w:val="24"/>
          <w:szCs w:val="24"/>
        </w:rPr>
        <w:t>We ended the year with 45 employees from ethnic minority backgrounds, which is 14.52% of our workforce. This is above our target of 11.50% and higher than last year.  We have also seen an increase</w:t>
      </w:r>
      <w:r w:rsidR="008357A3" w:rsidRPr="009C6727">
        <w:rPr>
          <w:rFonts w:ascii="Tahoma" w:hAnsi="Tahoma" w:cs="Tahoma"/>
          <w:sz w:val="24"/>
          <w:szCs w:val="24"/>
        </w:rPr>
        <w:t xml:space="preserve"> in</w:t>
      </w:r>
      <w:r w:rsidRPr="009C6727">
        <w:rPr>
          <w:rFonts w:ascii="Tahoma" w:hAnsi="Tahoma" w:cs="Tahoma"/>
          <w:sz w:val="24"/>
          <w:szCs w:val="24"/>
        </w:rPr>
        <w:t xml:space="preserve"> the number of colleagues from ethnic minority backgrounds in middle and senior management roles, and </w:t>
      </w:r>
      <w:r w:rsidR="008357A3" w:rsidRPr="009C6727">
        <w:rPr>
          <w:rFonts w:ascii="Tahoma" w:hAnsi="Tahoma" w:cs="Tahoma"/>
          <w:sz w:val="24"/>
          <w:szCs w:val="24"/>
        </w:rPr>
        <w:t>these populations</w:t>
      </w:r>
      <w:r w:rsidRPr="009C6727">
        <w:rPr>
          <w:rFonts w:ascii="Tahoma" w:hAnsi="Tahoma" w:cs="Tahoma"/>
          <w:sz w:val="24"/>
          <w:szCs w:val="24"/>
        </w:rPr>
        <w:t xml:space="preserve"> now reflect</w:t>
      </w:r>
      <w:r w:rsidR="008357A3" w:rsidRPr="009C6727">
        <w:rPr>
          <w:rFonts w:ascii="Tahoma" w:hAnsi="Tahoma" w:cs="Tahoma"/>
          <w:sz w:val="24"/>
          <w:szCs w:val="24"/>
        </w:rPr>
        <w:t xml:space="preserve"> </w:t>
      </w:r>
      <w:r w:rsidRPr="009C6727">
        <w:rPr>
          <w:rFonts w:ascii="Tahoma" w:hAnsi="Tahoma" w:cs="Tahoma"/>
          <w:sz w:val="24"/>
          <w:szCs w:val="24"/>
        </w:rPr>
        <w:t>the make-up of our overall workforce.</w:t>
      </w:r>
    </w:p>
    <w:p w14:paraId="7B977B0D" w14:textId="77777777" w:rsidR="00FD390F" w:rsidRPr="009C6727" w:rsidRDefault="00FD390F" w:rsidP="00FD390F">
      <w:pPr>
        <w:spacing w:after="0" w:line="288" w:lineRule="auto"/>
        <w:jc w:val="both"/>
        <w:rPr>
          <w:rFonts w:ascii="Tahoma" w:hAnsi="Tahoma" w:cs="Tahoma"/>
          <w:sz w:val="24"/>
          <w:szCs w:val="24"/>
        </w:rPr>
      </w:pPr>
    </w:p>
    <w:p w14:paraId="1C1A172E" w14:textId="3194E844" w:rsidR="00F24D9E" w:rsidRPr="009C6727" w:rsidRDefault="00663138" w:rsidP="00F24D9E">
      <w:pPr>
        <w:spacing w:after="0" w:line="288" w:lineRule="auto"/>
        <w:jc w:val="both"/>
        <w:rPr>
          <w:rFonts w:ascii="Tahoma" w:hAnsi="Tahoma" w:cs="Tahoma"/>
          <w:sz w:val="24"/>
          <w:szCs w:val="24"/>
        </w:rPr>
      </w:pPr>
      <w:r w:rsidRPr="009C6727">
        <w:rPr>
          <w:rFonts w:ascii="Tahoma" w:hAnsi="Tahoma" w:cs="Tahoma"/>
          <w:sz w:val="24"/>
          <w:szCs w:val="24"/>
        </w:rPr>
        <w:t xml:space="preserve">We </w:t>
      </w:r>
      <w:r w:rsidR="00DB7E68" w:rsidRPr="009C6727">
        <w:rPr>
          <w:rFonts w:ascii="Tahoma" w:hAnsi="Tahoma" w:cs="Tahoma"/>
          <w:sz w:val="24"/>
          <w:szCs w:val="24"/>
        </w:rPr>
        <w:t>have carried out analysis of our</w:t>
      </w:r>
      <w:r w:rsidRPr="009C6727">
        <w:rPr>
          <w:rFonts w:ascii="Tahoma" w:hAnsi="Tahoma" w:cs="Tahoma"/>
          <w:sz w:val="24"/>
          <w:szCs w:val="24"/>
        </w:rPr>
        <w:t xml:space="preserve"> recruitment statistics</w:t>
      </w:r>
      <w:r w:rsidR="00DB7E68" w:rsidRPr="009C6727">
        <w:rPr>
          <w:rFonts w:ascii="Tahoma" w:hAnsi="Tahoma" w:cs="Tahoma"/>
          <w:sz w:val="24"/>
          <w:szCs w:val="24"/>
        </w:rPr>
        <w:t xml:space="preserve"> for the year</w:t>
      </w:r>
      <w:r w:rsidRPr="009C6727">
        <w:rPr>
          <w:rFonts w:ascii="Tahoma" w:hAnsi="Tahoma" w:cs="Tahoma"/>
          <w:sz w:val="24"/>
          <w:szCs w:val="24"/>
        </w:rPr>
        <w:t xml:space="preserve">.  </w:t>
      </w:r>
      <w:r w:rsidR="00FD75F6" w:rsidRPr="009C6727">
        <w:rPr>
          <w:rFonts w:ascii="Tahoma" w:hAnsi="Tahoma" w:cs="Tahoma"/>
          <w:sz w:val="24"/>
          <w:szCs w:val="24"/>
        </w:rPr>
        <w:t xml:space="preserve">Almost </w:t>
      </w:r>
      <w:r w:rsidR="00B33D80" w:rsidRPr="009C6727">
        <w:rPr>
          <w:rFonts w:ascii="Tahoma" w:hAnsi="Tahoma" w:cs="Tahoma"/>
          <w:sz w:val="24"/>
          <w:szCs w:val="24"/>
        </w:rPr>
        <w:t>39</w:t>
      </w:r>
      <w:r w:rsidR="00FD75F6" w:rsidRPr="009C6727">
        <w:rPr>
          <w:rFonts w:ascii="Tahoma" w:hAnsi="Tahoma" w:cs="Tahoma"/>
          <w:sz w:val="24"/>
          <w:szCs w:val="24"/>
        </w:rPr>
        <w:t>% of all</w:t>
      </w:r>
      <w:r w:rsidRPr="009C6727">
        <w:rPr>
          <w:rFonts w:ascii="Tahoma" w:hAnsi="Tahoma" w:cs="Tahoma"/>
          <w:sz w:val="24"/>
          <w:szCs w:val="24"/>
        </w:rPr>
        <w:t xml:space="preserve"> job applicants</w:t>
      </w:r>
      <w:r w:rsidR="002704F9" w:rsidRPr="009C6727">
        <w:rPr>
          <w:rFonts w:ascii="Tahoma" w:hAnsi="Tahoma" w:cs="Tahoma"/>
          <w:sz w:val="24"/>
          <w:szCs w:val="24"/>
        </w:rPr>
        <w:t xml:space="preserve"> identify as belonging to ethnic minority groups</w:t>
      </w:r>
      <w:r w:rsidRPr="009C6727">
        <w:rPr>
          <w:rFonts w:ascii="Tahoma" w:hAnsi="Tahoma" w:cs="Tahoma"/>
          <w:sz w:val="24"/>
          <w:szCs w:val="24"/>
        </w:rPr>
        <w:t xml:space="preserve"> </w:t>
      </w:r>
      <w:r w:rsidR="007372D9" w:rsidRPr="009C6727">
        <w:rPr>
          <w:rFonts w:ascii="Tahoma" w:hAnsi="Tahoma" w:cs="Tahoma"/>
          <w:sz w:val="24"/>
          <w:szCs w:val="24"/>
        </w:rPr>
        <w:t xml:space="preserve">which is </w:t>
      </w:r>
      <w:proofErr w:type="gramStart"/>
      <w:r w:rsidR="001F3FC3" w:rsidRPr="009C6727">
        <w:rPr>
          <w:rFonts w:ascii="Tahoma" w:hAnsi="Tahoma" w:cs="Tahoma"/>
          <w:sz w:val="24"/>
          <w:szCs w:val="24"/>
        </w:rPr>
        <w:t>similar to</w:t>
      </w:r>
      <w:proofErr w:type="gramEnd"/>
      <w:r w:rsidR="00B33D80" w:rsidRPr="009C6727">
        <w:rPr>
          <w:rFonts w:ascii="Tahoma" w:hAnsi="Tahoma" w:cs="Tahoma"/>
          <w:sz w:val="24"/>
          <w:szCs w:val="24"/>
        </w:rPr>
        <w:t xml:space="preserve"> last year</w:t>
      </w:r>
      <w:r w:rsidR="007372D9" w:rsidRPr="009C6727">
        <w:rPr>
          <w:rFonts w:ascii="Tahoma" w:hAnsi="Tahoma" w:cs="Tahoma"/>
          <w:sz w:val="24"/>
          <w:szCs w:val="24"/>
        </w:rPr>
        <w:t xml:space="preserve">. </w:t>
      </w:r>
      <w:r w:rsidR="00B64D6A" w:rsidRPr="009C6727">
        <w:rPr>
          <w:rFonts w:ascii="Tahoma" w:hAnsi="Tahoma" w:cs="Tahoma"/>
          <w:sz w:val="24"/>
          <w:szCs w:val="24"/>
        </w:rPr>
        <w:t xml:space="preserve"> </w:t>
      </w:r>
      <w:r w:rsidR="00F57CE3" w:rsidRPr="009C6727">
        <w:rPr>
          <w:rFonts w:ascii="Tahoma" w:hAnsi="Tahoma" w:cs="Tahoma"/>
          <w:sz w:val="24"/>
          <w:szCs w:val="24"/>
        </w:rPr>
        <w:t>31.4</w:t>
      </w:r>
      <w:r w:rsidR="00617CA4" w:rsidRPr="009C6727">
        <w:rPr>
          <w:rFonts w:ascii="Tahoma" w:hAnsi="Tahoma" w:cs="Tahoma"/>
          <w:sz w:val="24"/>
          <w:szCs w:val="24"/>
        </w:rPr>
        <w:t>2</w:t>
      </w:r>
      <w:r w:rsidR="00F57CE3" w:rsidRPr="009C6727">
        <w:rPr>
          <w:rFonts w:ascii="Tahoma" w:hAnsi="Tahoma" w:cs="Tahoma"/>
          <w:sz w:val="24"/>
          <w:szCs w:val="24"/>
        </w:rPr>
        <w:t xml:space="preserve">% </w:t>
      </w:r>
      <w:r w:rsidR="002704F9" w:rsidRPr="009C6727">
        <w:rPr>
          <w:rFonts w:ascii="Tahoma" w:hAnsi="Tahoma" w:cs="Tahoma"/>
          <w:sz w:val="24"/>
          <w:szCs w:val="24"/>
        </w:rPr>
        <w:t>of candidates who are shortlisted identify as belonging to ethnic minority groups</w:t>
      </w:r>
      <w:r w:rsidR="00617CA4" w:rsidRPr="009C6727">
        <w:rPr>
          <w:rFonts w:ascii="Tahoma" w:hAnsi="Tahoma" w:cs="Tahoma"/>
          <w:sz w:val="24"/>
          <w:szCs w:val="24"/>
        </w:rPr>
        <w:t xml:space="preserve"> – an increase of</w:t>
      </w:r>
      <w:r w:rsidR="007C45BB" w:rsidRPr="009C6727">
        <w:rPr>
          <w:rFonts w:ascii="Tahoma" w:hAnsi="Tahoma" w:cs="Tahoma"/>
          <w:sz w:val="24"/>
          <w:szCs w:val="24"/>
        </w:rPr>
        <w:t xml:space="preserve"> almost 3%</w:t>
      </w:r>
      <w:r w:rsidR="00617CA4" w:rsidRPr="009C6727">
        <w:rPr>
          <w:rFonts w:ascii="Tahoma" w:hAnsi="Tahoma" w:cs="Tahoma"/>
          <w:sz w:val="24"/>
          <w:szCs w:val="24"/>
        </w:rPr>
        <w:t xml:space="preserve"> </w:t>
      </w:r>
      <w:r w:rsidR="007C45BB" w:rsidRPr="009C6727">
        <w:rPr>
          <w:rFonts w:ascii="Tahoma" w:hAnsi="Tahoma" w:cs="Tahoma"/>
          <w:sz w:val="24"/>
          <w:szCs w:val="24"/>
        </w:rPr>
        <w:t xml:space="preserve">on last year. </w:t>
      </w:r>
      <w:r w:rsidR="00DB7E68" w:rsidRPr="009C6727">
        <w:rPr>
          <w:rFonts w:ascii="Tahoma" w:hAnsi="Tahoma" w:cs="Tahoma"/>
          <w:sz w:val="24"/>
          <w:szCs w:val="24"/>
        </w:rPr>
        <w:t xml:space="preserve"> </w:t>
      </w:r>
      <w:r w:rsidR="005B7A70" w:rsidRPr="009C6727">
        <w:rPr>
          <w:rFonts w:ascii="Tahoma" w:hAnsi="Tahoma" w:cs="Tahoma"/>
          <w:sz w:val="24"/>
          <w:szCs w:val="24"/>
        </w:rPr>
        <w:t>However, there was a</w:t>
      </w:r>
      <w:r w:rsidR="00193F29" w:rsidRPr="009C6727">
        <w:rPr>
          <w:rFonts w:ascii="Tahoma" w:hAnsi="Tahoma" w:cs="Tahoma"/>
          <w:sz w:val="24"/>
          <w:szCs w:val="24"/>
        </w:rPr>
        <w:t>n 8%</w:t>
      </w:r>
      <w:r w:rsidR="005B7A70" w:rsidRPr="009C6727">
        <w:rPr>
          <w:rFonts w:ascii="Tahoma" w:hAnsi="Tahoma" w:cs="Tahoma"/>
          <w:sz w:val="24"/>
          <w:szCs w:val="24"/>
        </w:rPr>
        <w:t xml:space="preserve"> decrease in of successful candidates from </w:t>
      </w:r>
      <w:r w:rsidR="005C2E06" w:rsidRPr="009C6727">
        <w:rPr>
          <w:rFonts w:ascii="Tahoma" w:hAnsi="Tahoma" w:cs="Tahoma"/>
          <w:sz w:val="24"/>
          <w:szCs w:val="24"/>
        </w:rPr>
        <w:t>ethnic minority</w:t>
      </w:r>
      <w:r w:rsidR="005B7A70" w:rsidRPr="009C6727">
        <w:rPr>
          <w:rFonts w:ascii="Tahoma" w:hAnsi="Tahoma" w:cs="Tahoma"/>
          <w:sz w:val="24"/>
          <w:szCs w:val="24"/>
        </w:rPr>
        <w:t xml:space="preserve"> groups </w:t>
      </w:r>
      <w:r w:rsidR="00193F29" w:rsidRPr="009C6727">
        <w:rPr>
          <w:rFonts w:ascii="Tahoma" w:hAnsi="Tahoma" w:cs="Tahoma"/>
          <w:sz w:val="24"/>
          <w:szCs w:val="24"/>
        </w:rPr>
        <w:t xml:space="preserve">who </w:t>
      </w:r>
      <w:r w:rsidR="00B46C5D" w:rsidRPr="009C6727">
        <w:rPr>
          <w:rFonts w:ascii="Tahoma" w:hAnsi="Tahoma" w:cs="Tahoma"/>
          <w:sz w:val="24"/>
          <w:szCs w:val="24"/>
        </w:rPr>
        <w:t xml:space="preserve">represented </w:t>
      </w:r>
      <w:r w:rsidR="00617CA4" w:rsidRPr="009C6727">
        <w:rPr>
          <w:rFonts w:ascii="Tahoma" w:hAnsi="Tahoma" w:cs="Tahoma"/>
          <w:sz w:val="24"/>
          <w:szCs w:val="24"/>
        </w:rPr>
        <w:t>13.20</w:t>
      </w:r>
      <w:r w:rsidR="002704F9" w:rsidRPr="009C6727">
        <w:rPr>
          <w:rFonts w:ascii="Tahoma" w:hAnsi="Tahoma" w:cs="Tahoma"/>
          <w:sz w:val="24"/>
          <w:szCs w:val="24"/>
        </w:rPr>
        <w:t>% of</w:t>
      </w:r>
      <w:r w:rsidR="00B46C5D" w:rsidRPr="009C6727">
        <w:rPr>
          <w:rFonts w:ascii="Tahoma" w:hAnsi="Tahoma" w:cs="Tahoma"/>
          <w:sz w:val="24"/>
          <w:szCs w:val="24"/>
        </w:rPr>
        <w:t xml:space="preserve"> job offers</w:t>
      </w:r>
      <w:r w:rsidR="002704F9" w:rsidRPr="009C6727">
        <w:rPr>
          <w:rFonts w:ascii="Tahoma" w:hAnsi="Tahoma" w:cs="Tahoma"/>
          <w:sz w:val="24"/>
          <w:szCs w:val="24"/>
        </w:rPr>
        <w:t>.</w:t>
      </w:r>
      <w:r w:rsidR="00F24D9E" w:rsidRPr="009C6727">
        <w:rPr>
          <w:rFonts w:ascii="Tahoma" w:hAnsi="Tahoma" w:cs="Tahoma"/>
          <w:sz w:val="24"/>
          <w:szCs w:val="24"/>
        </w:rPr>
        <w:t xml:space="preserve"> </w:t>
      </w:r>
      <w:r w:rsidR="002704F9" w:rsidRPr="009C6727">
        <w:rPr>
          <w:rFonts w:ascii="Tahoma" w:hAnsi="Tahoma" w:cs="Tahoma"/>
          <w:sz w:val="24"/>
          <w:szCs w:val="24"/>
        </w:rPr>
        <w:t xml:space="preserve"> </w:t>
      </w:r>
      <w:r w:rsidR="00F24D9E" w:rsidRPr="009C6727">
        <w:rPr>
          <w:rFonts w:ascii="Tahoma" w:hAnsi="Tahoma" w:cs="Tahoma"/>
          <w:sz w:val="24"/>
          <w:szCs w:val="24"/>
        </w:rPr>
        <w:t xml:space="preserve">We have reviewed our recruitment information to understand what might have led to this drop and found no evidence of any barriers or unfair or discriminatory practices.  We will continue to monitor this over the coming year. </w:t>
      </w:r>
    </w:p>
    <w:p w14:paraId="1199B4BE" w14:textId="2FF81189" w:rsidR="00B46C5D" w:rsidRPr="009C6727" w:rsidRDefault="00B46C5D" w:rsidP="00FD390F">
      <w:pPr>
        <w:spacing w:after="0" w:line="288" w:lineRule="auto"/>
        <w:jc w:val="both"/>
        <w:rPr>
          <w:rFonts w:ascii="Tahoma" w:hAnsi="Tahoma" w:cs="Tahoma"/>
          <w:sz w:val="24"/>
          <w:szCs w:val="24"/>
        </w:rPr>
      </w:pPr>
    </w:p>
    <w:p w14:paraId="4D9261EC" w14:textId="77777777" w:rsidR="00031351" w:rsidRPr="009C6727" w:rsidRDefault="00031351" w:rsidP="00031351">
      <w:pPr>
        <w:spacing w:after="0" w:line="288" w:lineRule="auto"/>
        <w:jc w:val="both"/>
        <w:rPr>
          <w:rFonts w:ascii="Tahoma" w:hAnsi="Tahoma" w:cs="Tahoma"/>
          <w:sz w:val="24"/>
          <w:szCs w:val="24"/>
        </w:rPr>
      </w:pPr>
      <w:r w:rsidRPr="009C6727">
        <w:rPr>
          <w:rFonts w:ascii="Tahoma" w:hAnsi="Tahoma" w:cs="Tahoma"/>
          <w:sz w:val="24"/>
          <w:szCs w:val="24"/>
        </w:rPr>
        <w:t>We have continued to use the ‘Rooney Rule’, offering an interview to applicants from ethnic minority backgrounds if they are close to the shortlisting cut-off.</w:t>
      </w:r>
    </w:p>
    <w:p w14:paraId="04B79F83" w14:textId="77777777" w:rsidR="00572865" w:rsidRPr="009C6727" w:rsidRDefault="00572865" w:rsidP="00031351">
      <w:pPr>
        <w:spacing w:after="0" w:line="288" w:lineRule="auto"/>
        <w:jc w:val="both"/>
        <w:rPr>
          <w:rFonts w:ascii="Tahoma" w:hAnsi="Tahoma" w:cs="Tahoma"/>
          <w:sz w:val="24"/>
          <w:szCs w:val="24"/>
        </w:rPr>
      </w:pPr>
    </w:p>
    <w:p w14:paraId="1DC95345" w14:textId="158C12A5" w:rsidR="009B0060" w:rsidRPr="009C6727" w:rsidRDefault="009B0060" w:rsidP="009B0060">
      <w:pPr>
        <w:spacing w:after="0" w:line="288" w:lineRule="auto"/>
        <w:jc w:val="both"/>
        <w:rPr>
          <w:rFonts w:ascii="Tahoma" w:hAnsi="Tahoma" w:cs="Tahoma"/>
          <w:sz w:val="24"/>
          <w:szCs w:val="24"/>
        </w:rPr>
      </w:pPr>
      <w:r w:rsidRPr="009C6727">
        <w:rPr>
          <w:rFonts w:ascii="Tahoma" w:hAnsi="Tahoma" w:cs="Tahoma"/>
          <w:sz w:val="24"/>
          <w:szCs w:val="24"/>
        </w:rPr>
        <w:t xml:space="preserve">We also provide recruitment and equality, diversity and inclusion (EDI) training to all hiring managers. The People </w:t>
      </w:r>
      <w:r w:rsidR="00572865" w:rsidRPr="009C6727">
        <w:rPr>
          <w:rFonts w:ascii="Tahoma" w:hAnsi="Tahoma" w:cs="Tahoma"/>
          <w:sz w:val="24"/>
          <w:szCs w:val="24"/>
        </w:rPr>
        <w:t>T</w:t>
      </w:r>
      <w:r w:rsidRPr="009C6727">
        <w:rPr>
          <w:rFonts w:ascii="Tahoma" w:hAnsi="Tahoma" w:cs="Tahoma"/>
          <w:sz w:val="24"/>
          <w:szCs w:val="24"/>
        </w:rPr>
        <w:t>eam support the recruitment process by reviewing interview questions and assessments, and by giving coaching and feedback to managers.</w:t>
      </w:r>
    </w:p>
    <w:p w14:paraId="4977533B" w14:textId="77777777" w:rsidR="00FD390F" w:rsidRPr="009C6727" w:rsidRDefault="00FD390F" w:rsidP="00FD390F">
      <w:pPr>
        <w:spacing w:after="0" w:line="288" w:lineRule="auto"/>
        <w:jc w:val="both"/>
        <w:rPr>
          <w:rFonts w:ascii="Tahoma" w:hAnsi="Tahoma" w:cs="Tahoma"/>
          <w:sz w:val="24"/>
          <w:szCs w:val="24"/>
        </w:rPr>
      </w:pPr>
    </w:p>
    <w:p w14:paraId="56C80271" w14:textId="7486EB97" w:rsidR="000326D0" w:rsidRPr="009C6727" w:rsidRDefault="002704F9" w:rsidP="00FD390F">
      <w:pPr>
        <w:spacing w:after="0" w:line="288" w:lineRule="auto"/>
        <w:jc w:val="both"/>
        <w:rPr>
          <w:rFonts w:ascii="Tahoma" w:hAnsi="Tahoma" w:cs="Tahoma"/>
          <w:sz w:val="24"/>
          <w:szCs w:val="24"/>
        </w:rPr>
      </w:pPr>
      <w:r w:rsidRPr="009C6727">
        <w:rPr>
          <w:rFonts w:ascii="Tahoma" w:hAnsi="Tahoma" w:cs="Tahoma"/>
          <w:sz w:val="24"/>
          <w:szCs w:val="24"/>
        </w:rPr>
        <w:t>Comparison data indicates that our colleague profile does not yet reflect the proportion of individuals from ethnic minority groups living in Preston and within our homes</w:t>
      </w:r>
      <w:r w:rsidR="000326D0" w:rsidRPr="009C6727">
        <w:rPr>
          <w:rFonts w:ascii="Tahoma" w:hAnsi="Tahoma" w:cs="Tahoma"/>
          <w:sz w:val="24"/>
          <w:szCs w:val="24"/>
        </w:rPr>
        <w:t xml:space="preserve"> as shown below</w:t>
      </w:r>
      <w:r w:rsidRPr="009C6727">
        <w:rPr>
          <w:rFonts w:ascii="Tahoma" w:hAnsi="Tahoma" w:cs="Tahoma"/>
          <w:sz w:val="24"/>
          <w:szCs w:val="24"/>
        </w:rPr>
        <w:t xml:space="preserve">.  </w:t>
      </w:r>
    </w:p>
    <w:p w14:paraId="2D76E6AA" w14:textId="77777777" w:rsidR="000326D0" w:rsidRPr="009C6727" w:rsidRDefault="000326D0" w:rsidP="00FD390F">
      <w:pPr>
        <w:spacing w:after="0" w:line="288" w:lineRule="auto"/>
        <w:jc w:val="both"/>
        <w:rPr>
          <w:rFonts w:ascii="Tahoma" w:hAnsi="Tahoma" w:cs="Tahoma"/>
          <w:sz w:val="24"/>
          <w:szCs w:val="24"/>
        </w:rPr>
      </w:pPr>
    </w:p>
    <w:tbl>
      <w:tblPr>
        <w:tblpPr w:leftFromText="180" w:rightFromText="180" w:vertAnchor="text" w:horzAnchor="margin" w:tblpY="56"/>
        <w:tblW w:w="10627" w:type="dxa"/>
        <w:tblLook w:val="04A0" w:firstRow="1" w:lastRow="0" w:firstColumn="1" w:lastColumn="0" w:noHBand="0" w:noVBand="1"/>
      </w:tblPr>
      <w:tblGrid>
        <w:gridCol w:w="3540"/>
        <w:gridCol w:w="2362"/>
        <w:gridCol w:w="2362"/>
        <w:gridCol w:w="2363"/>
      </w:tblGrid>
      <w:tr w:rsidR="000326D0" w:rsidRPr="009C6727" w14:paraId="2F33573B" w14:textId="77777777" w:rsidTr="000326D0">
        <w:trPr>
          <w:trHeight w:val="525"/>
        </w:trPr>
        <w:tc>
          <w:tcPr>
            <w:tcW w:w="3540" w:type="dxa"/>
            <w:tcBorders>
              <w:top w:val="single" w:sz="4" w:space="0" w:color="auto"/>
              <w:left w:val="single" w:sz="4" w:space="0" w:color="auto"/>
              <w:bottom w:val="single" w:sz="4" w:space="0" w:color="auto"/>
              <w:right w:val="single" w:sz="4" w:space="0" w:color="auto"/>
            </w:tcBorders>
            <w:shd w:val="clear" w:color="000000" w:fill="012169"/>
            <w:vAlign w:val="center"/>
            <w:hideMark/>
          </w:tcPr>
          <w:p w14:paraId="17A636CD" w14:textId="77777777" w:rsidR="000326D0" w:rsidRPr="009C6727" w:rsidRDefault="000326D0" w:rsidP="000326D0">
            <w:pPr>
              <w:spacing w:after="0" w:line="240" w:lineRule="auto"/>
              <w:jc w:val="center"/>
              <w:rPr>
                <w:rFonts w:ascii="Tahoma" w:eastAsia="Times New Roman" w:hAnsi="Tahoma" w:cs="Tahoma"/>
                <w:color w:val="FFFFFF"/>
                <w:sz w:val="24"/>
                <w:szCs w:val="24"/>
                <w:lang w:eastAsia="en-GB"/>
              </w:rPr>
            </w:pPr>
            <w:r w:rsidRPr="009C6727">
              <w:rPr>
                <w:rFonts w:ascii="Tahoma" w:eastAsia="Times New Roman" w:hAnsi="Tahoma" w:cs="Tahoma"/>
                <w:color w:val="FFFFFF"/>
                <w:sz w:val="24"/>
                <w:szCs w:val="24"/>
                <w:lang w:eastAsia="en-GB"/>
              </w:rPr>
              <w:t> </w:t>
            </w:r>
          </w:p>
        </w:tc>
        <w:tc>
          <w:tcPr>
            <w:tcW w:w="2362" w:type="dxa"/>
            <w:tcBorders>
              <w:top w:val="single" w:sz="4" w:space="0" w:color="auto"/>
              <w:left w:val="nil"/>
              <w:bottom w:val="single" w:sz="4" w:space="0" w:color="auto"/>
              <w:right w:val="single" w:sz="4" w:space="0" w:color="auto"/>
            </w:tcBorders>
            <w:shd w:val="clear" w:color="000000" w:fill="012169"/>
            <w:vAlign w:val="center"/>
            <w:hideMark/>
          </w:tcPr>
          <w:p w14:paraId="5E9104B4" w14:textId="77777777" w:rsidR="000326D0" w:rsidRPr="009C6727" w:rsidRDefault="000326D0" w:rsidP="000326D0">
            <w:pPr>
              <w:spacing w:after="0" w:line="240" w:lineRule="auto"/>
              <w:jc w:val="center"/>
              <w:rPr>
                <w:rFonts w:ascii="Tahoma" w:eastAsia="Times New Roman" w:hAnsi="Tahoma" w:cs="Tahoma"/>
                <w:color w:val="FFFFFF"/>
                <w:sz w:val="24"/>
                <w:szCs w:val="24"/>
                <w:lang w:eastAsia="en-GB"/>
              </w:rPr>
            </w:pPr>
            <w:r w:rsidRPr="009C6727">
              <w:rPr>
                <w:rFonts w:ascii="Tahoma" w:eastAsia="Times New Roman" w:hAnsi="Tahoma" w:cs="Tahoma"/>
                <w:color w:val="FFFFFF"/>
                <w:sz w:val="24"/>
                <w:szCs w:val="24"/>
                <w:lang w:eastAsia="en-GB"/>
              </w:rPr>
              <w:t>CGA Colleagues</w:t>
            </w:r>
          </w:p>
        </w:tc>
        <w:tc>
          <w:tcPr>
            <w:tcW w:w="2362" w:type="dxa"/>
            <w:tcBorders>
              <w:top w:val="single" w:sz="4" w:space="0" w:color="auto"/>
              <w:left w:val="nil"/>
              <w:bottom w:val="single" w:sz="4" w:space="0" w:color="auto"/>
              <w:right w:val="single" w:sz="4" w:space="0" w:color="auto"/>
            </w:tcBorders>
            <w:shd w:val="clear" w:color="000000" w:fill="012169"/>
            <w:vAlign w:val="center"/>
            <w:hideMark/>
          </w:tcPr>
          <w:p w14:paraId="7C6E4A00" w14:textId="77777777" w:rsidR="000326D0" w:rsidRPr="009C6727" w:rsidRDefault="000326D0" w:rsidP="000326D0">
            <w:pPr>
              <w:spacing w:after="0" w:line="240" w:lineRule="auto"/>
              <w:jc w:val="center"/>
              <w:rPr>
                <w:rFonts w:ascii="Tahoma" w:eastAsia="Times New Roman" w:hAnsi="Tahoma" w:cs="Tahoma"/>
                <w:color w:val="FFFFFF"/>
                <w:sz w:val="24"/>
                <w:szCs w:val="24"/>
                <w:lang w:eastAsia="en-GB"/>
              </w:rPr>
            </w:pPr>
            <w:r w:rsidRPr="009C6727">
              <w:rPr>
                <w:rFonts w:ascii="Tahoma" w:eastAsia="Times New Roman" w:hAnsi="Tahoma" w:cs="Tahoma"/>
                <w:color w:val="FFFFFF"/>
                <w:sz w:val="24"/>
                <w:szCs w:val="24"/>
                <w:lang w:eastAsia="en-GB"/>
              </w:rPr>
              <w:t>Preston Census 2021</w:t>
            </w:r>
          </w:p>
        </w:tc>
        <w:tc>
          <w:tcPr>
            <w:tcW w:w="2363" w:type="dxa"/>
            <w:tcBorders>
              <w:top w:val="single" w:sz="4" w:space="0" w:color="auto"/>
              <w:left w:val="nil"/>
              <w:bottom w:val="single" w:sz="4" w:space="0" w:color="auto"/>
              <w:right w:val="single" w:sz="4" w:space="0" w:color="auto"/>
            </w:tcBorders>
            <w:shd w:val="clear" w:color="000000" w:fill="012169"/>
            <w:vAlign w:val="center"/>
            <w:hideMark/>
          </w:tcPr>
          <w:p w14:paraId="2E19CF52" w14:textId="692BD104" w:rsidR="000326D0" w:rsidRPr="009C6727" w:rsidRDefault="00BC7D8D" w:rsidP="000326D0">
            <w:pPr>
              <w:spacing w:after="0" w:line="240" w:lineRule="auto"/>
              <w:jc w:val="center"/>
              <w:rPr>
                <w:rFonts w:ascii="Tahoma" w:eastAsia="Times New Roman" w:hAnsi="Tahoma" w:cs="Tahoma"/>
                <w:color w:val="FFFFFF"/>
                <w:sz w:val="24"/>
                <w:szCs w:val="24"/>
                <w:lang w:eastAsia="en-GB"/>
              </w:rPr>
            </w:pPr>
            <w:r w:rsidRPr="009C6727">
              <w:rPr>
                <w:rFonts w:ascii="Tahoma" w:hAnsi="Tahoma" w:cs="Tahoma"/>
                <w:sz w:val="24"/>
                <w:szCs w:val="24"/>
              </w:rPr>
              <w:t xml:space="preserve">Tenant profile </w:t>
            </w:r>
            <w:r w:rsidRPr="009C6727">
              <w:rPr>
                <w:rFonts w:ascii="Tahoma" w:hAnsi="Tahoma" w:cs="Tahoma"/>
                <w:color w:val="FFFFFF" w:themeColor="background1"/>
                <w:sz w:val="24"/>
                <w:szCs w:val="24"/>
              </w:rPr>
              <w:t>2025/26</w:t>
            </w:r>
          </w:p>
        </w:tc>
      </w:tr>
      <w:tr w:rsidR="000326D0" w:rsidRPr="009C6727" w14:paraId="49217B62" w14:textId="77777777" w:rsidTr="000326D0">
        <w:trPr>
          <w:trHeight w:val="525"/>
        </w:trPr>
        <w:tc>
          <w:tcPr>
            <w:tcW w:w="3540" w:type="dxa"/>
            <w:tcBorders>
              <w:top w:val="nil"/>
              <w:left w:val="single" w:sz="4" w:space="0" w:color="auto"/>
              <w:bottom w:val="single" w:sz="4" w:space="0" w:color="auto"/>
              <w:right w:val="single" w:sz="4" w:space="0" w:color="auto"/>
            </w:tcBorders>
            <w:vAlign w:val="center"/>
            <w:hideMark/>
          </w:tcPr>
          <w:p w14:paraId="5FA62F20" w14:textId="77777777" w:rsidR="000326D0" w:rsidRPr="009C6727" w:rsidRDefault="000326D0" w:rsidP="000326D0">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Percentage identifying as from an ethnic minority group</w:t>
            </w:r>
          </w:p>
        </w:tc>
        <w:tc>
          <w:tcPr>
            <w:tcW w:w="2362" w:type="dxa"/>
            <w:tcBorders>
              <w:top w:val="nil"/>
              <w:left w:val="nil"/>
              <w:bottom w:val="single" w:sz="4" w:space="0" w:color="auto"/>
              <w:right w:val="single" w:sz="4" w:space="0" w:color="auto"/>
            </w:tcBorders>
            <w:vAlign w:val="center"/>
            <w:hideMark/>
          </w:tcPr>
          <w:p w14:paraId="056ABD6A" w14:textId="19827B92" w:rsidR="000326D0" w:rsidRPr="009C6727" w:rsidRDefault="009B0060" w:rsidP="000326D0">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14.52</w:t>
            </w:r>
            <w:r w:rsidR="000326D0" w:rsidRPr="009C6727">
              <w:rPr>
                <w:rFonts w:ascii="Tahoma" w:eastAsia="Times New Roman" w:hAnsi="Tahoma" w:cs="Tahoma"/>
                <w:color w:val="000000"/>
                <w:sz w:val="24"/>
                <w:szCs w:val="24"/>
                <w:lang w:eastAsia="en-GB"/>
              </w:rPr>
              <w:t>%</w:t>
            </w:r>
          </w:p>
        </w:tc>
        <w:tc>
          <w:tcPr>
            <w:tcW w:w="2362" w:type="dxa"/>
            <w:tcBorders>
              <w:top w:val="nil"/>
              <w:left w:val="nil"/>
              <w:bottom w:val="single" w:sz="4" w:space="0" w:color="auto"/>
              <w:right w:val="single" w:sz="4" w:space="0" w:color="auto"/>
            </w:tcBorders>
            <w:vAlign w:val="center"/>
            <w:hideMark/>
          </w:tcPr>
          <w:p w14:paraId="6AF1365D" w14:textId="3DB4E094" w:rsidR="000326D0" w:rsidRPr="009C6727" w:rsidRDefault="00EA20C7" w:rsidP="000326D0">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33.90</w:t>
            </w:r>
            <w:r w:rsidR="000326D0" w:rsidRPr="009C6727">
              <w:rPr>
                <w:rFonts w:ascii="Tahoma" w:eastAsia="Times New Roman" w:hAnsi="Tahoma" w:cs="Tahoma"/>
                <w:color w:val="000000"/>
                <w:sz w:val="24"/>
                <w:szCs w:val="24"/>
                <w:lang w:eastAsia="en-GB"/>
              </w:rPr>
              <w:t>%</w:t>
            </w:r>
          </w:p>
        </w:tc>
        <w:tc>
          <w:tcPr>
            <w:tcW w:w="2363" w:type="dxa"/>
            <w:tcBorders>
              <w:top w:val="nil"/>
              <w:left w:val="nil"/>
              <w:bottom w:val="single" w:sz="4" w:space="0" w:color="auto"/>
              <w:right w:val="single" w:sz="4" w:space="0" w:color="auto"/>
            </w:tcBorders>
            <w:vAlign w:val="center"/>
            <w:hideMark/>
          </w:tcPr>
          <w:p w14:paraId="42BF8A17" w14:textId="1DD916AB" w:rsidR="000326D0" w:rsidRPr="009C6727" w:rsidRDefault="00B6775C" w:rsidP="000326D0">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21.82</w:t>
            </w:r>
            <w:r w:rsidR="000326D0" w:rsidRPr="009C6727">
              <w:rPr>
                <w:rFonts w:ascii="Tahoma" w:eastAsia="Times New Roman" w:hAnsi="Tahoma" w:cs="Tahoma"/>
                <w:color w:val="000000"/>
                <w:sz w:val="24"/>
                <w:szCs w:val="24"/>
                <w:lang w:eastAsia="en-GB"/>
              </w:rPr>
              <w:t>%</w:t>
            </w:r>
          </w:p>
        </w:tc>
      </w:tr>
    </w:tbl>
    <w:p w14:paraId="32A9E53A" w14:textId="77777777" w:rsidR="000326D0" w:rsidRPr="009C6727" w:rsidRDefault="000326D0" w:rsidP="00FD390F">
      <w:pPr>
        <w:spacing w:after="0" w:line="288" w:lineRule="auto"/>
        <w:jc w:val="both"/>
        <w:rPr>
          <w:rFonts w:ascii="Tahoma" w:hAnsi="Tahoma" w:cs="Tahoma"/>
          <w:sz w:val="24"/>
          <w:szCs w:val="24"/>
        </w:rPr>
      </w:pPr>
    </w:p>
    <w:p w14:paraId="6B3A0D93" w14:textId="6C130FD9" w:rsidR="00CC2246" w:rsidRPr="009C6727" w:rsidRDefault="00B6775C" w:rsidP="00FD390F">
      <w:pPr>
        <w:spacing w:after="0" w:line="288" w:lineRule="auto"/>
        <w:jc w:val="both"/>
        <w:rPr>
          <w:rFonts w:ascii="Tahoma" w:hAnsi="Tahoma" w:cs="Tahoma"/>
          <w:sz w:val="24"/>
          <w:szCs w:val="24"/>
        </w:rPr>
      </w:pPr>
      <w:r w:rsidRPr="009C6727">
        <w:rPr>
          <w:rFonts w:ascii="Tahoma" w:hAnsi="Tahoma" w:cs="Tahoma"/>
          <w:sz w:val="24"/>
          <w:szCs w:val="24"/>
        </w:rPr>
        <w:t>21.82</w:t>
      </w:r>
      <w:r w:rsidR="006C3133" w:rsidRPr="009C6727">
        <w:rPr>
          <w:rFonts w:ascii="Tahoma" w:hAnsi="Tahoma" w:cs="Tahoma"/>
          <w:sz w:val="24"/>
          <w:szCs w:val="24"/>
        </w:rPr>
        <w:t>% of our tenants come from ethnic minority backgrounds. Tenants from White – English/Scottish/Welsh/Northern Irish/British backgrounds represent the largest group, making up 76.</w:t>
      </w:r>
      <w:r w:rsidR="006A6C72" w:rsidRPr="009C6727">
        <w:rPr>
          <w:rFonts w:ascii="Tahoma" w:hAnsi="Tahoma" w:cs="Tahoma"/>
          <w:sz w:val="24"/>
          <w:szCs w:val="24"/>
        </w:rPr>
        <w:t>65</w:t>
      </w:r>
      <w:r w:rsidR="006C3133" w:rsidRPr="009C6727">
        <w:rPr>
          <w:rFonts w:ascii="Tahoma" w:hAnsi="Tahoma" w:cs="Tahoma"/>
          <w:sz w:val="24"/>
          <w:szCs w:val="24"/>
        </w:rPr>
        <w:t xml:space="preserve">% of our tenant base, compared to </w:t>
      </w:r>
      <w:r w:rsidR="00421FBA" w:rsidRPr="009C6727">
        <w:rPr>
          <w:rFonts w:ascii="Tahoma" w:hAnsi="Tahoma" w:cs="Tahoma"/>
          <w:sz w:val="24"/>
          <w:szCs w:val="24"/>
        </w:rPr>
        <w:t>84.52</w:t>
      </w:r>
      <w:r w:rsidR="006C3133" w:rsidRPr="009C6727">
        <w:rPr>
          <w:rFonts w:ascii="Tahoma" w:hAnsi="Tahoma" w:cs="Tahoma"/>
          <w:sz w:val="24"/>
          <w:szCs w:val="24"/>
        </w:rPr>
        <w:t>% of CGA employees. Among</w:t>
      </w:r>
      <w:r w:rsidR="003325A0" w:rsidRPr="009C6727">
        <w:rPr>
          <w:rFonts w:ascii="Tahoma" w:hAnsi="Tahoma" w:cs="Tahoma"/>
          <w:sz w:val="24"/>
          <w:szCs w:val="24"/>
        </w:rPr>
        <w:t>st</w:t>
      </w:r>
      <w:r w:rsidR="006C3133" w:rsidRPr="009C6727">
        <w:rPr>
          <w:rFonts w:ascii="Tahoma" w:hAnsi="Tahoma" w:cs="Tahoma"/>
          <w:sz w:val="24"/>
          <w:szCs w:val="24"/>
        </w:rPr>
        <w:t xml:space="preserve"> our tenants, those identifying as 'White – Other' make up 9.7</w:t>
      </w:r>
      <w:r w:rsidR="005E46F7" w:rsidRPr="009C6727">
        <w:rPr>
          <w:rFonts w:ascii="Tahoma" w:hAnsi="Tahoma" w:cs="Tahoma"/>
          <w:sz w:val="24"/>
          <w:szCs w:val="24"/>
        </w:rPr>
        <w:t>1</w:t>
      </w:r>
      <w:r w:rsidR="006C3133" w:rsidRPr="009C6727">
        <w:rPr>
          <w:rFonts w:ascii="Tahoma" w:hAnsi="Tahoma" w:cs="Tahoma"/>
          <w:sz w:val="24"/>
          <w:szCs w:val="24"/>
        </w:rPr>
        <w:t>%, the second-largest group, whereas only 1.</w:t>
      </w:r>
      <w:r w:rsidR="005E46F7" w:rsidRPr="009C6727">
        <w:rPr>
          <w:rFonts w:ascii="Tahoma" w:hAnsi="Tahoma" w:cs="Tahoma"/>
          <w:sz w:val="24"/>
          <w:szCs w:val="24"/>
        </w:rPr>
        <w:t>94</w:t>
      </w:r>
      <w:r w:rsidR="006C3133" w:rsidRPr="009C6727">
        <w:rPr>
          <w:rFonts w:ascii="Tahoma" w:hAnsi="Tahoma" w:cs="Tahoma"/>
          <w:sz w:val="24"/>
          <w:szCs w:val="24"/>
        </w:rPr>
        <w:t>% of CGA employees identify in this category.</w:t>
      </w:r>
    </w:p>
    <w:p w14:paraId="5DF0CA34" w14:textId="77777777" w:rsidR="00FD390F" w:rsidRPr="009C6727" w:rsidRDefault="00FD390F" w:rsidP="00FD390F">
      <w:pPr>
        <w:spacing w:after="0" w:line="288" w:lineRule="auto"/>
        <w:jc w:val="both"/>
        <w:rPr>
          <w:rFonts w:ascii="Tahoma" w:hAnsi="Tahoma" w:cs="Tahoma"/>
          <w:sz w:val="24"/>
          <w:szCs w:val="24"/>
        </w:rPr>
      </w:pPr>
    </w:p>
    <w:p w14:paraId="70E5A174" w14:textId="0BE19E11" w:rsidR="00CC2246" w:rsidRPr="009C6727" w:rsidRDefault="00663138" w:rsidP="00FD390F">
      <w:pPr>
        <w:spacing w:after="0" w:line="288" w:lineRule="auto"/>
        <w:jc w:val="both"/>
        <w:rPr>
          <w:rFonts w:ascii="Tahoma" w:hAnsi="Tahoma" w:cs="Tahoma"/>
          <w:b/>
          <w:bCs/>
          <w:color w:val="002060"/>
          <w:sz w:val="24"/>
          <w:szCs w:val="24"/>
        </w:rPr>
      </w:pPr>
      <w:r w:rsidRPr="009C6727">
        <w:rPr>
          <w:rFonts w:ascii="Tahoma" w:hAnsi="Tahoma" w:cs="Tahoma"/>
          <w:b/>
          <w:bCs/>
          <w:color w:val="002060"/>
          <w:sz w:val="24"/>
          <w:szCs w:val="24"/>
        </w:rPr>
        <w:t>Disability</w:t>
      </w:r>
    </w:p>
    <w:p w14:paraId="0ADD0628" w14:textId="77777777" w:rsidR="008E3E7B" w:rsidRPr="009C6727" w:rsidRDefault="004A7002" w:rsidP="00FD390F">
      <w:pPr>
        <w:spacing w:after="0" w:line="288" w:lineRule="auto"/>
        <w:jc w:val="both"/>
        <w:rPr>
          <w:rFonts w:ascii="Tahoma" w:hAnsi="Tahoma" w:cs="Tahoma"/>
          <w:sz w:val="24"/>
          <w:szCs w:val="24"/>
        </w:rPr>
      </w:pPr>
      <w:r w:rsidRPr="009C6727">
        <w:rPr>
          <w:rFonts w:ascii="Tahoma" w:hAnsi="Tahoma" w:cs="Tahoma"/>
          <w:sz w:val="24"/>
          <w:szCs w:val="24"/>
        </w:rPr>
        <w:t xml:space="preserve">At the end of </w:t>
      </w:r>
      <w:r w:rsidR="00404A67" w:rsidRPr="009C6727">
        <w:rPr>
          <w:rFonts w:ascii="Tahoma" w:hAnsi="Tahoma" w:cs="Tahoma"/>
          <w:sz w:val="24"/>
          <w:szCs w:val="24"/>
        </w:rPr>
        <w:t>2025/26</w:t>
      </w:r>
      <w:r w:rsidRPr="009C6727">
        <w:rPr>
          <w:rFonts w:ascii="Tahoma" w:hAnsi="Tahoma" w:cs="Tahoma"/>
          <w:sz w:val="24"/>
          <w:szCs w:val="24"/>
        </w:rPr>
        <w:t xml:space="preserve"> </w:t>
      </w:r>
      <w:r w:rsidR="006C3133" w:rsidRPr="009C6727">
        <w:rPr>
          <w:rFonts w:ascii="Tahoma" w:hAnsi="Tahoma" w:cs="Tahoma"/>
          <w:sz w:val="24"/>
          <w:szCs w:val="24"/>
        </w:rPr>
        <w:t>28</w:t>
      </w:r>
      <w:r w:rsidR="00B71E96" w:rsidRPr="009C6727">
        <w:rPr>
          <w:rFonts w:ascii="Tahoma" w:hAnsi="Tahoma" w:cs="Tahoma"/>
          <w:sz w:val="24"/>
          <w:szCs w:val="24"/>
        </w:rPr>
        <w:t xml:space="preserve"> (</w:t>
      </w:r>
      <w:r w:rsidR="006C3133" w:rsidRPr="009C6727">
        <w:rPr>
          <w:rFonts w:ascii="Tahoma" w:hAnsi="Tahoma" w:cs="Tahoma"/>
          <w:sz w:val="24"/>
          <w:szCs w:val="24"/>
        </w:rPr>
        <w:t>9.</w:t>
      </w:r>
      <w:r w:rsidR="00404A67" w:rsidRPr="009C6727">
        <w:rPr>
          <w:rFonts w:ascii="Tahoma" w:hAnsi="Tahoma" w:cs="Tahoma"/>
          <w:sz w:val="24"/>
          <w:szCs w:val="24"/>
        </w:rPr>
        <w:t>35</w:t>
      </w:r>
      <w:r w:rsidR="00B71E96" w:rsidRPr="009C6727">
        <w:rPr>
          <w:rFonts w:ascii="Tahoma" w:hAnsi="Tahoma" w:cs="Tahoma"/>
          <w:sz w:val="24"/>
          <w:szCs w:val="24"/>
        </w:rPr>
        <w:t>%)</w:t>
      </w:r>
      <w:r w:rsidRPr="009C6727">
        <w:rPr>
          <w:rFonts w:ascii="Tahoma" w:hAnsi="Tahoma" w:cs="Tahoma"/>
          <w:sz w:val="24"/>
          <w:szCs w:val="24"/>
        </w:rPr>
        <w:t xml:space="preserve"> of our colleagues are considered to have a disability</w:t>
      </w:r>
      <w:r w:rsidR="00404A67" w:rsidRPr="009C6727">
        <w:rPr>
          <w:rFonts w:ascii="Tahoma" w:hAnsi="Tahoma" w:cs="Tahoma"/>
          <w:sz w:val="24"/>
          <w:szCs w:val="24"/>
        </w:rPr>
        <w:t>.  This is a slight decrease from last year but</w:t>
      </w:r>
      <w:r w:rsidRPr="009C6727">
        <w:rPr>
          <w:rFonts w:ascii="Tahoma" w:hAnsi="Tahoma" w:cs="Tahoma"/>
          <w:sz w:val="24"/>
          <w:szCs w:val="24"/>
        </w:rPr>
        <w:t xml:space="preserve"> surpasses our target of </w:t>
      </w:r>
      <w:r w:rsidR="006C3133" w:rsidRPr="009C6727">
        <w:rPr>
          <w:rFonts w:ascii="Tahoma" w:hAnsi="Tahoma" w:cs="Tahoma"/>
          <w:sz w:val="24"/>
          <w:szCs w:val="24"/>
        </w:rPr>
        <w:t>7</w:t>
      </w:r>
      <w:r w:rsidRPr="009C6727">
        <w:rPr>
          <w:rFonts w:ascii="Tahoma" w:hAnsi="Tahoma" w:cs="Tahoma"/>
          <w:sz w:val="24"/>
          <w:szCs w:val="24"/>
        </w:rPr>
        <w:t xml:space="preserve">% </w:t>
      </w:r>
      <w:r w:rsidR="000A6296" w:rsidRPr="009C6727">
        <w:rPr>
          <w:rFonts w:ascii="Tahoma" w:hAnsi="Tahoma" w:cs="Tahoma"/>
          <w:sz w:val="24"/>
          <w:szCs w:val="24"/>
        </w:rPr>
        <w:t>for</w:t>
      </w:r>
      <w:r w:rsidRPr="009C6727">
        <w:rPr>
          <w:rFonts w:ascii="Tahoma" w:hAnsi="Tahoma" w:cs="Tahoma"/>
          <w:sz w:val="24"/>
          <w:szCs w:val="24"/>
        </w:rPr>
        <w:t xml:space="preserve"> all colleagues. </w:t>
      </w:r>
      <w:r w:rsidR="006C3133" w:rsidRPr="009C6727">
        <w:rPr>
          <w:rFonts w:ascii="Tahoma" w:hAnsi="Tahoma" w:cs="Tahoma"/>
          <w:sz w:val="24"/>
          <w:szCs w:val="24"/>
        </w:rPr>
        <w:t xml:space="preserve"> A further </w:t>
      </w:r>
      <w:r w:rsidR="008E3E7B" w:rsidRPr="009C6727">
        <w:rPr>
          <w:rFonts w:ascii="Tahoma" w:hAnsi="Tahoma" w:cs="Tahoma"/>
          <w:sz w:val="24"/>
          <w:szCs w:val="24"/>
        </w:rPr>
        <w:t>13.55</w:t>
      </w:r>
      <w:r w:rsidR="006C3133" w:rsidRPr="009C6727">
        <w:rPr>
          <w:rFonts w:ascii="Tahoma" w:hAnsi="Tahoma" w:cs="Tahoma"/>
          <w:sz w:val="24"/>
          <w:szCs w:val="24"/>
        </w:rPr>
        <w:t>% have declared a long-term health condition</w:t>
      </w:r>
      <w:r w:rsidR="008170CA" w:rsidRPr="009C6727">
        <w:rPr>
          <w:rFonts w:ascii="Tahoma" w:hAnsi="Tahoma" w:cs="Tahoma"/>
          <w:sz w:val="24"/>
          <w:szCs w:val="24"/>
        </w:rPr>
        <w:t xml:space="preserve"> which impacts their day-to-day life</w:t>
      </w:r>
      <w:r w:rsidR="006C3133" w:rsidRPr="009C6727">
        <w:rPr>
          <w:rFonts w:ascii="Tahoma" w:hAnsi="Tahoma" w:cs="Tahoma"/>
          <w:sz w:val="24"/>
          <w:szCs w:val="24"/>
        </w:rPr>
        <w:t xml:space="preserve">.  </w:t>
      </w:r>
    </w:p>
    <w:p w14:paraId="61ABEE9A" w14:textId="77777777" w:rsidR="002615B8" w:rsidRPr="009C6727" w:rsidRDefault="002615B8" w:rsidP="00FD390F">
      <w:pPr>
        <w:spacing w:after="0" w:line="288" w:lineRule="auto"/>
        <w:jc w:val="both"/>
        <w:rPr>
          <w:rFonts w:ascii="Tahoma" w:hAnsi="Tahoma" w:cs="Tahoma"/>
          <w:sz w:val="24"/>
          <w:szCs w:val="24"/>
        </w:rPr>
      </w:pPr>
    </w:p>
    <w:p w14:paraId="4A2296BE" w14:textId="4D8686F2" w:rsidR="0076036D" w:rsidRPr="009C6727" w:rsidRDefault="0076036D" w:rsidP="0076036D">
      <w:pPr>
        <w:spacing w:after="0" w:line="288" w:lineRule="auto"/>
        <w:jc w:val="both"/>
        <w:rPr>
          <w:rFonts w:ascii="Tahoma" w:hAnsi="Tahoma" w:cs="Tahoma"/>
          <w:sz w:val="24"/>
          <w:szCs w:val="24"/>
        </w:rPr>
      </w:pPr>
      <w:r w:rsidRPr="009C6727">
        <w:rPr>
          <w:rFonts w:ascii="Tahoma" w:hAnsi="Tahoma" w:cs="Tahoma"/>
          <w:sz w:val="24"/>
          <w:szCs w:val="24"/>
        </w:rPr>
        <w:t xml:space="preserve">We have continued to support colleagues with a disability or long-term health condition by promoting our mental health first aid support, sharing information </w:t>
      </w:r>
      <w:r w:rsidR="00FD4CEF" w:rsidRPr="009C6727">
        <w:rPr>
          <w:rFonts w:ascii="Tahoma" w:hAnsi="Tahoma" w:cs="Tahoma"/>
          <w:sz w:val="24"/>
          <w:szCs w:val="24"/>
        </w:rPr>
        <w:t xml:space="preserve">and providing training </w:t>
      </w:r>
      <w:r w:rsidRPr="009C6727">
        <w:rPr>
          <w:rFonts w:ascii="Tahoma" w:hAnsi="Tahoma" w:cs="Tahoma"/>
          <w:sz w:val="24"/>
          <w:szCs w:val="24"/>
        </w:rPr>
        <w:t xml:space="preserve">about </w:t>
      </w:r>
      <w:r w:rsidR="00FD4CEF" w:rsidRPr="009C6727">
        <w:rPr>
          <w:rFonts w:ascii="Tahoma" w:hAnsi="Tahoma" w:cs="Tahoma"/>
          <w:sz w:val="24"/>
          <w:szCs w:val="24"/>
        </w:rPr>
        <w:t>reasonable adjustments</w:t>
      </w:r>
      <w:r w:rsidRPr="009C6727">
        <w:rPr>
          <w:rFonts w:ascii="Tahoma" w:hAnsi="Tahoma" w:cs="Tahoma"/>
          <w:sz w:val="24"/>
          <w:szCs w:val="24"/>
        </w:rPr>
        <w:t>, and offering coaching. We also provide flexible working arrangements where we can, along with tailored support through occupational health and other specialist services.</w:t>
      </w:r>
    </w:p>
    <w:p w14:paraId="52D60D30" w14:textId="77777777" w:rsidR="00572865" w:rsidRPr="009C6727" w:rsidRDefault="00572865" w:rsidP="0076036D">
      <w:pPr>
        <w:spacing w:after="0" w:line="288" w:lineRule="auto"/>
        <w:jc w:val="both"/>
        <w:rPr>
          <w:rFonts w:ascii="Tahoma" w:hAnsi="Tahoma" w:cs="Tahoma"/>
          <w:sz w:val="24"/>
          <w:szCs w:val="24"/>
        </w:rPr>
      </w:pPr>
    </w:p>
    <w:p w14:paraId="2BFDCC85" w14:textId="77777777" w:rsidR="0076036D" w:rsidRPr="009C6727" w:rsidRDefault="0076036D" w:rsidP="0076036D">
      <w:pPr>
        <w:spacing w:after="0" w:line="288" w:lineRule="auto"/>
        <w:jc w:val="both"/>
        <w:rPr>
          <w:rFonts w:ascii="Tahoma" w:hAnsi="Tahoma" w:cs="Tahoma"/>
          <w:sz w:val="24"/>
          <w:szCs w:val="24"/>
        </w:rPr>
      </w:pPr>
      <w:r w:rsidRPr="009C6727">
        <w:rPr>
          <w:rFonts w:ascii="Tahoma" w:hAnsi="Tahoma" w:cs="Tahoma"/>
          <w:sz w:val="24"/>
          <w:szCs w:val="24"/>
        </w:rPr>
        <w:t>We have also become a Hospice UK ‘Compassionate Employer’, giving colleagues access to support for bereavement, caring responsibilities and terminal illness.</w:t>
      </w:r>
    </w:p>
    <w:p w14:paraId="32548E21" w14:textId="77777777" w:rsidR="00294BF5" w:rsidRPr="009C6727" w:rsidRDefault="00294BF5" w:rsidP="00FD390F">
      <w:pPr>
        <w:spacing w:after="0" w:line="288" w:lineRule="auto"/>
        <w:jc w:val="both"/>
        <w:rPr>
          <w:rFonts w:ascii="Tahoma" w:hAnsi="Tahoma" w:cs="Tahoma"/>
          <w:sz w:val="24"/>
          <w:szCs w:val="24"/>
        </w:rPr>
      </w:pPr>
    </w:p>
    <w:tbl>
      <w:tblPr>
        <w:tblW w:w="10490" w:type="dxa"/>
        <w:jc w:val="center"/>
        <w:tblLayout w:type="fixed"/>
        <w:tblLook w:val="04A0" w:firstRow="1" w:lastRow="0" w:firstColumn="1" w:lastColumn="0" w:noHBand="0" w:noVBand="1"/>
      </w:tblPr>
      <w:tblGrid>
        <w:gridCol w:w="3397"/>
        <w:gridCol w:w="2364"/>
        <w:gridCol w:w="2364"/>
        <w:gridCol w:w="2365"/>
      </w:tblGrid>
      <w:tr w:rsidR="000326D0" w:rsidRPr="009C6727" w14:paraId="17DC52CB" w14:textId="77777777" w:rsidTr="000326D0">
        <w:trPr>
          <w:trHeight w:val="525"/>
          <w:jc w:val="center"/>
        </w:trPr>
        <w:tc>
          <w:tcPr>
            <w:tcW w:w="3397" w:type="dxa"/>
            <w:tcBorders>
              <w:top w:val="single" w:sz="4" w:space="0" w:color="auto"/>
              <w:left w:val="single" w:sz="4" w:space="0" w:color="auto"/>
              <w:bottom w:val="single" w:sz="4" w:space="0" w:color="auto"/>
              <w:right w:val="single" w:sz="4" w:space="0" w:color="auto"/>
            </w:tcBorders>
            <w:shd w:val="clear" w:color="000000" w:fill="012169"/>
            <w:vAlign w:val="center"/>
            <w:hideMark/>
          </w:tcPr>
          <w:p w14:paraId="030D29DA" w14:textId="77777777" w:rsidR="000326D0" w:rsidRPr="009C6727" w:rsidRDefault="000326D0" w:rsidP="000326D0">
            <w:pPr>
              <w:spacing w:after="0" w:line="240" w:lineRule="auto"/>
              <w:jc w:val="center"/>
              <w:rPr>
                <w:rFonts w:ascii="Tahoma" w:eastAsia="Times New Roman" w:hAnsi="Tahoma" w:cs="Tahoma"/>
                <w:color w:val="FFFFFF"/>
                <w:sz w:val="24"/>
                <w:szCs w:val="24"/>
                <w:lang w:eastAsia="en-GB"/>
              </w:rPr>
            </w:pPr>
            <w:r w:rsidRPr="009C6727">
              <w:rPr>
                <w:rFonts w:ascii="Tahoma" w:eastAsia="Times New Roman" w:hAnsi="Tahoma" w:cs="Tahoma"/>
                <w:color w:val="FFFFFF"/>
                <w:sz w:val="24"/>
                <w:szCs w:val="24"/>
                <w:lang w:eastAsia="en-GB"/>
              </w:rPr>
              <w:t> </w:t>
            </w:r>
          </w:p>
        </w:tc>
        <w:tc>
          <w:tcPr>
            <w:tcW w:w="2364" w:type="dxa"/>
            <w:tcBorders>
              <w:top w:val="single" w:sz="4" w:space="0" w:color="auto"/>
              <w:left w:val="nil"/>
              <w:bottom w:val="single" w:sz="4" w:space="0" w:color="auto"/>
              <w:right w:val="single" w:sz="4" w:space="0" w:color="auto"/>
            </w:tcBorders>
            <w:shd w:val="clear" w:color="000000" w:fill="012169"/>
            <w:vAlign w:val="center"/>
            <w:hideMark/>
          </w:tcPr>
          <w:p w14:paraId="2B0B3C7B" w14:textId="77777777" w:rsidR="000326D0" w:rsidRPr="009C6727" w:rsidRDefault="000326D0" w:rsidP="000326D0">
            <w:pPr>
              <w:spacing w:after="0" w:line="240" w:lineRule="auto"/>
              <w:jc w:val="center"/>
              <w:rPr>
                <w:rFonts w:ascii="Tahoma" w:eastAsia="Times New Roman" w:hAnsi="Tahoma" w:cs="Tahoma"/>
                <w:color w:val="FFFFFF"/>
                <w:sz w:val="24"/>
                <w:szCs w:val="24"/>
                <w:lang w:eastAsia="en-GB"/>
              </w:rPr>
            </w:pPr>
            <w:r w:rsidRPr="009C6727">
              <w:rPr>
                <w:rFonts w:ascii="Tahoma" w:eastAsia="Times New Roman" w:hAnsi="Tahoma" w:cs="Tahoma"/>
                <w:color w:val="FFFFFF"/>
                <w:sz w:val="24"/>
                <w:szCs w:val="24"/>
                <w:lang w:eastAsia="en-GB"/>
              </w:rPr>
              <w:t>CGA Colleagues</w:t>
            </w:r>
          </w:p>
        </w:tc>
        <w:tc>
          <w:tcPr>
            <w:tcW w:w="2364" w:type="dxa"/>
            <w:tcBorders>
              <w:top w:val="single" w:sz="4" w:space="0" w:color="auto"/>
              <w:left w:val="nil"/>
              <w:bottom w:val="single" w:sz="4" w:space="0" w:color="auto"/>
              <w:right w:val="single" w:sz="4" w:space="0" w:color="auto"/>
            </w:tcBorders>
            <w:shd w:val="clear" w:color="000000" w:fill="012169"/>
            <w:vAlign w:val="center"/>
            <w:hideMark/>
          </w:tcPr>
          <w:p w14:paraId="691BFB92" w14:textId="77777777" w:rsidR="000326D0" w:rsidRPr="009C6727" w:rsidRDefault="000326D0" w:rsidP="000326D0">
            <w:pPr>
              <w:spacing w:after="0" w:line="240" w:lineRule="auto"/>
              <w:jc w:val="center"/>
              <w:rPr>
                <w:rFonts w:ascii="Tahoma" w:eastAsia="Times New Roman" w:hAnsi="Tahoma" w:cs="Tahoma"/>
                <w:color w:val="FFFFFF"/>
                <w:sz w:val="24"/>
                <w:szCs w:val="24"/>
                <w:lang w:eastAsia="en-GB"/>
              </w:rPr>
            </w:pPr>
            <w:r w:rsidRPr="009C6727">
              <w:rPr>
                <w:rFonts w:ascii="Tahoma" w:eastAsia="Times New Roman" w:hAnsi="Tahoma" w:cs="Tahoma"/>
                <w:color w:val="FFFFFF"/>
                <w:sz w:val="24"/>
                <w:szCs w:val="24"/>
                <w:lang w:eastAsia="en-GB"/>
              </w:rPr>
              <w:t>Preston Census 2021</w:t>
            </w:r>
          </w:p>
        </w:tc>
        <w:tc>
          <w:tcPr>
            <w:tcW w:w="2365" w:type="dxa"/>
            <w:tcBorders>
              <w:top w:val="single" w:sz="4" w:space="0" w:color="auto"/>
              <w:left w:val="nil"/>
              <w:bottom w:val="single" w:sz="4" w:space="0" w:color="auto"/>
              <w:right w:val="single" w:sz="4" w:space="0" w:color="auto"/>
            </w:tcBorders>
            <w:shd w:val="clear" w:color="000000" w:fill="012169"/>
            <w:vAlign w:val="center"/>
            <w:hideMark/>
          </w:tcPr>
          <w:p w14:paraId="718F0C6B" w14:textId="4FCB6957" w:rsidR="000326D0" w:rsidRPr="009C6727" w:rsidRDefault="00BC7D8D" w:rsidP="000326D0">
            <w:pPr>
              <w:spacing w:after="0" w:line="240" w:lineRule="auto"/>
              <w:jc w:val="center"/>
              <w:rPr>
                <w:rFonts w:ascii="Tahoma" w:eastAsia="Times New Roman" w:hAnsi="Tahoma" w:cs="Tahoma"/>
                <w:color w:val="FFFFFF"/>
                <w:sz w:val="24"/>
                <w:szCs w:val="24"/>
                <w:lang w:eastAsia="en-GB"/>
              </w:rPr>
            </w:pPr>
            <w:r w:rsidRPr="009C6727">
              <w:rPr>
                <w:rFonts w:ascii="Tahoma" w:hAnsi="Tahoma" w:cs="Tahoma"/>
                <w:sz w:val="24"/>
                <w:szCs w:val="24"/>
              </w:rPr>
              <w:t xml:space="preserve">Tenant profile </w:t>
            </w:r>
            <w:r w:rsidRPr="009C6727">
              <w:rPr>
                <w:rFonts w:ascii="Tahoma" w:hAnsi="Tahoma" w:cs="Tahoma"/>
                <w:color w:val="FFFFFF" w:themeColor="background1"/>
                <w:sz w:val="24"/>
                <w:szCs w:val="24"/>
              </w:rPr>
              <w:t>2025/26</w:t>
            </w:r>
          </w:p>
        </w:tc>
      </w:tr>
      <w:tr w:rsidR="00BD69A8" w:rsidRPr="009C6727" w14:paraId="36760940" w14:textId="77777777" w:rsidTr="000326D0">
        <w:trPr>
          <w:trHeight w:val="525"/>
          <w:jc w:val="center"/>
        </w:trPr>
        <w:tc>
          <w:tcPr>
            <w:tcW w:w="3397" w:type="dxa"/>
            <w:tcBorders>
              <w:top w:val="nil"/>
              <w:left w:val="single" w:sz="4" w:space="0" w:color="auto"/>
              <w:bottom w:val="single" w:sz="4" w:space="0" w:color="auto"/>
              <w:right w:val="single" w:sz="4" w:space="0" w:color="auto"/>
            </w:tcBorders>
            <w:vAlign w:val="center"/>
          </w:tcPr>
          <w:p w14:paraId="20FDDA92" w14:textId="77988E23" w:rsidR="00BD69A8" w:rsidRPr="009C6727" w:rsidRDefault="00BD69A8" w:rsidP="00BD69A8">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Percentage of people declaring a disability</w:t>
            </w:r>
          </w:p>
        </w:tc>
        <w:tc>
          <w:tcPr>
            <w:tcW w:w="2364" w:type="dxa"/>
            <w:tcBorders>
              <w:top w:val="nil"/>
              <w:left w:val="nil"/>
              <w:bottom w:val="single" w:sz="4" w:space="0" w:color="auto"/>
              <w:right w:val="single" w:sz="4" w:space="0" w:color="auto"/>
            </w:tcBorders>
            <w:vAlign w:val="center"/>
          </w:tcPr>
          <w:p w14:paraId="45B6E8E8" w14:textId="76F334EB" w:rsidR="00BD69A8" w:rsidRPr="009C6727" w:rsidRDefault="00BD69A8" w:rsidP="00BD69A8">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9.35%</w:t>
            </w:r>
          </w:p>
        </w:tc>
        <w:tc>
          <w:tcPr>
            <w:tcW w:w="2364" w:type="dxa"/>
            <w:tcBorders>
              <w:top w:val="nil"/>
              <w:left w:val="nil"/>
              <w:bottom w:val="single" w:sz="4" w:space="0" w:color="auto"/>
              <w:right w:val="single" w:sz="4" w:space="0" w:color="auto"/>
            </w:tcBorders>
            <w:vAlign w:val="center"/>
          </w:tcPr>
          <w:p w14:paraId="1511EC44" w14:textId="1B5A29B4" w:rsidR="00BD69A8" w:rsidRPr="009C6727" w:rsidRDefault="00D97200" w:rsidP="00BD69A8">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18.20%</w:t>
            </w:r>
          </w:p>
        </w:tc>
        <w:tc>
          <w:tcPr>
            <w:tcW w:w="2365" w:type="dxa"/>
            <w:tcBorders>
              <w:top w:val="nil"/>
              <w:left w:val="nil"/>
              <w:bottom w:val="single" w:sz="4" w:space="0" w:color="auto"/>
              <w:right w:val="single" w:sz="4" w:space="0" w:color="auto"/>
            </w:tcBorders>
            <w:noWrap/>
            <w:vAlign w:val="center"/>
          </w:tcPr>
          <w:p w14:paraId="6BA1BA54" w14:textId="500C8734" w:rsidR="00BD69A8" w:rsidRPr="009C6727" w:rsidRDefault="00B07313" w:rsidP="00BD69A8">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We do not collect this separately.</w:t>
            </w:r>
          </w:p>
        </w:tc>
      </w:tr>
      <w:tr w:rsidR="000326D0" w:rsidRPr="009C6727" w14:paraId="6D012F72" w14:textId="77777777" w:rsidTr="000326D0">
        <w:trPr>
          <w:trHeight w:val="525"/>
          <w:jc w:val="center"/>
        </w:trPr>
        <w:tc>
          <w:tcPr>
            <w:tcW w:w="3397" w:type="dxa"/>
            <w:tcBorders>
              <w:top w:val="nil"/>
              <w:left w:val="single" w:sz="4" w:space="0" w:color="auto"/>
              <w:bottom w:val="single" w:sz="4" w:space="0" w:color="auto"/>
              <w:right w:val="single" w:sz="4" w:space="0" w:color="auto"/>
            </w:tcBorders>
            <w:vAlign w:val="center"/>
            <w:hideMark/>
          </w:tcPr>
          <w:p w14:paraId="4403FB45" w14:textId="0920714B" w:rsidR="000326D0" w:rsidRPr="009C6727" w:rsidRDefault="000326D0" w:rsidP="00BD69A8">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Percentage of people declaring a disability</w:t>
            </w:r>
            <w:r w:rsidR="00CC2C8D" w:rsidRPr="009C6727">
              <w:rPr>
                <w:rFonts w:ascii="Tahoma" w:eastAsia="Times New Roman" w:hAnsi="Tahoma" w:cs="Tahoma"/>
                <w:color w:val="000000"/>
                <w:sz w:val="24"/>
                <w:szCs w:val="24"/>
                <w:lang w:eastAsia="en-GB"/>
              </w:rPr>
              <w:t xml:space="preserve"> or </w:t>
            </w:r>
            <w:r w:rsidR="00BD69A8" w:rsidRPr="009C6727">
              <w:rPr>
                <w:rFonts w:ascii="Tahoma" w:eastAsia="Times New Roman" w:hAnsi="Tahoma" w:cs="Tahoma"/>
                <w:color w:val="000000"/>
                <w:sz w:val="24"/>
                <w:szCs w:val="24"/>
                <w:lang w:eastAsia="en-GB"/>
              </w:rPr>
              <w:t>long-term</w:t>
            </w:r>
            <w:r w:rsidR="00CC2C8D" w:rsidRPr="009C6727">
              <w:rPr>
                <w:rFonts w:ascii="Tahoma" w:eastAsia="Times New Roman" w:hAnsi="Tahoma" w:cs="Tahoma"/>
                <w:color w:val="000000"/>
                <w:sz w:val="24"/>
                <w:szCs w:val="24"/>
                <w:lang w:eastAsia="en-GB"/>
              </w:rPr>
              <w:t xml:space="preserve"> health condition</w:t>
            </w:r>
          </w:p>
        </w:tc>
        <w:tc>
          <w:tcPr>
            <w:tcW w:w="2364" w:type="dxa"/>
            <w:tcBorders>
              <w:top w:val="nil"/>
              <w:left w:val="nil"/>
              <w:bottom w:val="single" w:sz="4" w:space="0" w:color="auto"/>
              <w:right w:val="single" w:sz="4" w:space="0" w:color="auto"/>
            </w:tcBorders>
            <w:vAlign w:val="center"/>
            <w:hideMark/>
          </w:tcPr>
          <w:p w14:paraId="2DE73241" w14:textId="05C73EB8" w:rsidR="000326D0" w:rsidRPr="009C6727" w:rsidRDefault="00830431" w:rsidP="00BD69A8">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22.90</w:t>
            </w:r>
            <w:r w:rsidR="000326D0" w:rsidRPr="009C6727">
              <w:rPr>
                <w:rFonts w:ascii="Tahoma" w:eastAsia="Times New Roman" w:hAnsi="Tahoma" w:cs="Tahoma"/>
                <w:color w:val="000000"/>
                <w:sz w:val="24"/>
                <w:szCs w:val="24"/>
                <w:lang w:eastAsia="en-GB"/>
              </w:rPr>
              <w:t>%</w:t>
            </w:r>
          </w:p>
          <w:p w14:paraId="67CB5B8F" w14:textId="2D877C68" w:rsidR="000326D0" w:rsidRPr="009C6727" w:rsidRDefault="000326D0" w:rsidP="00BD69A8">
            <w:pPr>
              <w:spacing w:after="0" w:line="240" w:lineRule="auto"/>
              <w:jc w:val="center"/>
              <w:rPr>
                <w:rFonts w:ascii="Tahoma" w:eastAsia="Times New Roman" w:hAnsi="Tahoma" w:cs="Tahoma"/>
                <w:color w:val="000000"/>
                <w:sz w:val="24"/>
                <w:szCs w:val="24"/>
                <w:lang w:eastAsia="en-GB"/>
              </w:rPr>
            </w:pPr>
          </w:p>
        </w:tc>
        <w:tc>
          <w:tcPr>
            <w:tcW w:w="2364" w:type="dxa"/>
            <w:tcBorders>
              <w:top w:val="nil"/>
              <w:left w:val="nil"/>
              <w:bottom w:val="single" w:sz="4" w:space="0" w:color="auto"/>
              <w:right w:val="single" w:sz="4" w:space="0" w:color="auto"/>
            </w:tcBorders>
            <w:vAlign w:val="center"/>
            <w:hideMark/>
          </w:tcPr>
          <w:p w14:paraId="7F846073" w14:textId="70EB1666" w:rsidR="000326D0" w:rsidRPr="009C6727" w:rsidRDefault="00BD69A8" w:rsidP="00BD69A8">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24.40</w:t>
            </w:r>
            <w:r w:rsidR="000326D0" w:rsidRPr="009C6727">
              <w:rPr>
                <w:rFonts w:ascii="Tahoma" w:eastAsia="Times New Roman" w:hAnsi="Tahoma" w:cs="Tahoma"/>
                <w:color w:val="000000"/>
                <w:sz w:val="24"/>
                <w:szCs w:val="24"/>
                <w:lang w:eastAsia="en-GB"/>
              </w:rPr>
              <w:t>%</w:t>
            </w:r>
          </w:p>
        </w:tc>
        <w:tc>
          <w:tcPr>
            <w:tcW w:w="2365" w:type="dxa"/>
            <w:tcBorders>
              <w:top w:val="nil"/>
              <w:left w:val="nil"/>
              <w:bottom w:val="single" w:sz="4" w:space="0" w:color="auto"/>
              <w:right w:val="single" w:sz="4" w:space="0" w:color="auto"/>
            </w:tcBorders>
            <w:noWrap/>
            <w:vAlign w:val="center"/>
            <w:hideMark/>
          </w:tcPr>
          <w:p w14:paraId="14752460" w14:textId="527DCDD7" w:rsidR="000326D0" w:rsidRPr="009C6727" w:rsidRDefault="00382D99" w:rsidP="00BD69A8">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29.95</w:t>
            </w:r>
            <w:r w:rsidR="000326D0" w:rsidRPr="009C6727">
              <w:rPr>
                <w:rFonts w:ascii="Tahoma" w:eastAsia="Times New Roman" w:hAnsi="Tahoma" w:cs="Tahoma"/>
                <w:color w:val="000000"/>
                <w:sz w:val="24"/>
                <w:szCs w:val="24"/>
                <w:lang w:eastAsia="en-GB"/>
              </w:rPr>
              <w:t>%</w:t>
            </w:r>
          </w:p>
        </w:tc>
      </w:tr>
    </w:tbl>
    <w:p w14:paraId="0907D81E" w14:textId="77777777" w:rsidR="000326D0" w:rsidRPr="009C6727" w:rsidRDefault="000326D0" w:rsidP="00FD390F">
      <w:pPr>
        <w:spacing w:after="0" w:line="288" w:lineRule="auto"/>
        <w:jc w:val="both"/>
        <w:rPr>
          <w:rFonts w:ascii="Tahoma" w:hAnsi="Tahoma" w:cs="Tahoma"/>
          <w:sz w:val="24"/>
          <w:szCs w:val="24"/>
        </w:rPr>
      </w:pPr>
    </w:p>
    <w:p w14:paraId="5CABC833" w14:textId="2352F8B0" w:rsidR="00B71E96" w:rsidRPr="009C6727" w:rsidRDefault="00B71E96" w:rsidP="00FD390F">
      <w:pPr>
        <w:spacing w:after="0" w:line="288" w:lineRule="auto"/>
        <w:jc w:val="both"/>
        <w:rPr>
          <w:rFonts w:ascii="Tahoma" w:hAnsi="Tahoma" w:cs="Tahoma"/>
          <w:sz w:val="24"/>
          <w:szCs w:val="24"/>
        </w:rPr>
      </w:pPr>
      <w:r w:rsidRPr="009C6727">
        <w:rPr>
          <w:rFonts w:ascii="Tahoma" w:hAnsi="Tahoma" w:cs="Tahoma"/>
          <w:sz w:val="24"/>
          <w:szCs w:val="24"/>
        </w:rPr>
        <w:t xml:space="preserve">Looking at the </w:t>
      </w:r>
      <w:r w:rsidR="00FD4CF4" w:rsidRPr="009C6727">
        <w:rPr>
          <w:rFonts w:ascii="Tahoma" w:hAnsi="Tahoma" w:cs="Tahoma"/>
          <w:sz w:val="24"/>
          <w:szCs w:val="24"/>
        </w:rPr>
        <w:t>comparison data</w:t>
      </w:r>
      <w:r w:rsidR="002A7429" w:rsidRPr="009C6727">
        <w:rPr>
          <w:rFonts w:ascii="Tahoma" w:hAnsi="Tahoma" w:cs="Tahoma"/>
          <w:sz w:val="24"/>
          <w:szCs w:val="24"/>
        </w:rPr>
        <w:t xml:space="preserve"> we hold, </w:t>
      </w:r>
      <w:r w:rsidR="00382D99" w:rsidRPr="009C6727">
        <w:rPr>
          <w:rFonts w:ascii="Tahoma" w:hAnsi="Tahoma" w:cs="Tahoma"/>
          <w:sz w:val="24"/>
          <w:szCs w:val="24"/>
        </w:rPr>
        <w:t>29.95</w:t>
      </w:r>
      <w:r w:rsidR="006C3133" w:rsidRPr="009C6727">
        <w:rPr>
          <w:rFonts w:ascii="Tahoma" w:hAnsi="Tahoma" w:cs="Tahoma"/>
          <w:sz w:val="24"/>
          <w:szCs w:val="24"/>
        </w:rPr>
        <w:t>% of our tenant population have declared a disability</w:t>
      </w:r>
      <w:r w:rsidR="002A7429" w:rsidRPr="009C6727">
        <w:rPr>
          <w:rFonts w:ascii="Tahoma" w:hAnsi="Tahoma" w:cs="Tahoma"/>
          <w:sz w:val="24"/>
          <w:szCs w:val="24"/>
        </w:rPr>
        <w:t xml:space="preserve"> or long-term health condition</w:t>
      </w:r>
      <w:r w:rsidR="00DF5048" w:rsidRPr="009C6727">
        <w:rPr>
          <w:rFonts w:ascii="Tahoma" w:hAnsi="Tahoma" w:cs="Tahoma"/>
          <w:sz w:val="24"/>
          <w:szCs w:val="24"/>
        </w:rPr>
        <w:t xml:space="preserve">, and </w:t>
      </w:r>
      <w:r w:rsidR="00B07313" w:rsidRPr="009C6727">
        <w:rPr>
          <w:rFonts w:ascii="Tahoma" w:hAnsi="Tahoma" w:cs="Tahoma"/>
          <w:sz w:val="24"/>
          <w:szCs w:val="24"/>
        </w:rPr>
        <w:t>24.40</w:t>
      </w:r>
      <w:r w:rsidR="008170CA" w:rsidRPr="009C6727">
        <w:rPr>
          <w:rFonts w:ascii="Tahoma" w:hAnsi="Tahoma" w:cs="Tahoma"/>
          <w:sz w:val="24"/>
          <w:szCs w:val="24"/>
        </w:rPr>
        <w:t>%</w:t>
      </w:r>
      <w:r w:rsidR="006C3133" w:rsidRPr="009C6727">
        <w:rPr>
          <w:rFonts w:ascii="Tahoma" w:hAnsi="Tahoma" w:cs="Tahoma"/>
          <w:sz w:val="24"/>
          <w:szCs w:val="24"/>
        </w:rPr>
        <w:t xml:space="preserve"> </w:t>
      </w:r>
      <w:r w:rsidR="000A6296" w:rsidRPr="009C6727">
        <w:rPr>
          <w:rFonts w:ascii="Tahoma" w:hAnsi="Tahoma" w:cs="Tahoma"/>
          <w:sz w:val="24"/>
          <w:szCs w:val="24"/>
        </w:rPr>
        <w:t>of the</w:t>
      </w:r>
      <w:r w:rsidR="00FD4CF4" w:rsidRPr="009C6727">
        <w:rPr>
          <w:rFonts w:ascii="Tahoma" w:hAnsi="Tahoma" w:cs="Tahoma"/>
          <w:sz w:val="24"/>
          <w:szCs w:val="24"/>
        </w:rPr>
        <w:t xml:space="preserve"> Preston population </w:t>
      </w:r>
      <w:r w:rsidR="008170CA" w:rsidRPr="009C6727">
        <w:rPr>
          <w:rFonts w:ascii="Tahoma" w:hAnsi="Tahoma" w:cs="Tahoma"/>
          <w:sz w:val="24"/>
          <w:szCs w:val="24"/>
        </w:rPr>
        <w:t>(2021 census data)</w:t>
      </w:r>
      <w:r w:rsidR="00FD4CF4" w:rsidRPr="009C6727">
        <w:rPr>
          <w:rFonts w:ascii="Tahoma" w:hAnsi="Tahoma" w:cs="Tahoma"/>
          <w:sz w:val="24"/>
          <w:szCs w:val="24"/>
        </w:rPr>
        <w:t xml:space="preserve">.  </w:t>
      </w:r>
      <w:r w:rsidR="008B72E0" w:rsidRPr="009C6727">
        <w:rPr>
          <w:rFonts w:ascii="Tahoma" w:hAnsi="Tahoma" w:cs="Tahoma"/>
          <w:sz w:val="24"/>
          <w:szCs w:val="24"/>
        </w:rPr>
        <w:t xml:space="preserve"> </w:t>
      </w:r>
    </w:p>
    <w:p w14:paraId="4272B71B" w14:textId="77777777" w:rsidR="00FD390F" w:rsidRPr="009C6727" w:rsidRDefault="00FD390F" w:rsidP="001231F5">
      <w:pPr>
        <w:spacing w:after="0"/>
        <w:jc w:val="both"/>
        <w:rPr>
          <w:rFonts w:ascii="Tahoma" w:hAnsi="Tahoma" w:cs="Tahoma"/>
          <w:sz w:val="24"/>
          <w:szCs w:val="24"/>
        </w:rPr>
      </w:pPr>
    </w:p>
    <w:p w14:paraId="35A6F376" w14:textId="77777777" w:rsidR="001231F5" w:rsidRPr="009C6727" w:rsidRDefault="00FD4CF4" w:rsidP="001231F5">
      <w:pPr>
        <w:spacing w:after="0"/>
        <w:jc w:val="both"/>
        <w:rPr>
          <w:rFonts w:ascii="Tahoma" w:hAnsi="Tahoma" w:cs="Tahoma"/>
          <w:sz w:val="24"/>
          <w:szCs w:val="24"/>
        </w:rPr>
      </w:pPr>
      <w:r w:rsidRPr="009C6727">
        <w:rPr>
          <w:rFonts w:ascii="Tahoma" w:hAnsi="Tahoma" w:cs="Tahoma"/>
          <w:sz w:val="24"/>
          <w:szCs w:val="24"/>
        </w:rPr>
        <w:t xml:space="preserve">As a Disability Confident Employer, we </w:t>
      </w:r>
      <w:r w:rsidR="008170CA" w:rsidRPr="009C6727">
        <w:rPr>
          <w:rFonts w:ascii="Tahoma" w:hAnsi="Tahoma" w:cs="Tahoma"/>
          <w:sz w:val="24"/>
          <w:szCs w:val="24"/>
        </w:rPr>
        <w:t>offer applicants who declare a disability the opportunity to opt in to our guaranteed interview scheme.   This means that if the person meets the</w:t>
      </w:r>
      <w:r w:rsidRPr="009C6727">
        <w:rPr>
          <w:rFonts w:ascii="Tahoma" w:hAnsi="Tahoma" w:cs="Tahoma"/>
          <w:sz w:val="24"/>
          <w:szCs w:val="24"/>
        </w:rPr>
        <w:t xml:space="preserve"> minimum criteria for the role</w:t>
      </w:r>
      <w:r w:rsidR="007062E4" w:rsidRPr="009C6727">
        <w:rPr>
          <w:rFonts w:ascii="Tahoma" w:hAnsi="Tahoma" w:cs="Tahoma"/>
          <w:sz w:val="24"/>
          <w:szCs w:val="24"/>
        </w:rPr>
        <w:t>,</w:t>
      </w:r>
      <w:r w:rsidRPr="009C6727">
        <w:rPr>
          <w:rFonts w:ascii="Tahoma" w:hAnsi="Tahoma" w:cs="Tahoma"/>
          <w:sz w:val="24"/>
          <w:szCs w:val="24"/>
        </w:rPr>
        <w:t xml:space="preserve"> </w:t>
      </w:r>
      <w:r w:rsidR="008170CA" w:rsidRPr="009C6727">
        <w:rPr>
          <w:rFonts w:ascii="Tahoma" w:hAnsi="Tahoma" w:cs="Tahoma"/>
          <w:sz w:val="24"/>
          <w:szCs w:val="24"/>
        </w:rPr>
        <w:t>they are offered</w:t>
      </w:r>
      <w:r w:rsidRPr="009C6727">
        <w:rPr>
          <w:rFonts w:ascii="Tahoma" w:hAnsi="Tahoma" w:cs="Tahoma"/>
          <w:sz w:val="24"/>
          <w:szCs w:val="24"/>
        </w:rPr>
        <w:t xml:space="preserve"> an interview.</w:t>
      </w:r>
      <w:r w:rsidR="008170CA" w:rsidRPr="009C6727">
        <w:rPr>
          <w:rFonts w:ascii="Tahoma" w:hAnsi="Tahoma" w:cs="Tahoma"/>
          <w:sz w:val="24"/>
          <w:szCs w:val="24"/>
        </w:rPr>
        <w:t xml:space="preserve"> </w:t>
      </w:r>
      <w:r w:rsidR="007C70E9" w:rsidRPr="009C6727">
        <w:rPr>
          <w:rFonts w:ascii="Tahoma" w:hAnsi="Tahoma" w:cs="Tahoma"/>
          <w:sz w:val="24"/>
          <w:szCs w:val="24"/>
        </w:rPr>
        <w:t xml:space="preserve"> </w:t>
      </w:r>
      <w:r w:rsidR="001231F5" w:rsidRPr="009C6727">
        <w:rPr>
          <w:rFonts w:ascii="Tahoma" w:hAnsi="Tahoma" w:cs="Tahoma"/>
          <w:sz w:val="24"/>
          <w:szCs w:val="24"/>
        </w:rPr>
        <w:t>We also give candidates the chance to tell us about any reasonable adjustments they may need to help them take part in interviews or assessments, and we support hiring managers to put these in place.</w:t>
      </w:r>
    </w:p>
    <w:p w14:paraId="2DA09BC3" w14:textId="77777777" w:rsidR="001231F5" w:rsidRPr="009C6727" w:rsidRDefault="001231F5" w:rsidP="001231F5">
      <w:pPr>
        <w:spacing w:after="0"/>
        <w:jc w:val="both"/>
        <w:rPr>
          <w:rFonts w:ascii="Tahoma" w:hAnsi="Tahoma" w:cs="Tahoma"/>
          <w:sz w:val="24"/>
          <w:szCs w:val="24"/>
        </w:rPr>
      </w:pPr>
    </w:p>
    <w:p w14:paraId="1A3E8398" w14:textId="60D6BF72" w:rsidR="00294BF5" w:rsidRPr="009C6727" w:rsidRDefault="00577826" w:rsidP="001231F5">
      <w:pPr>
        <w:spacing w:after="0"/>
        <w:jc w:val="both"/>
        <w:rPr>
          <w:rFonts w:ascii="Tahoma" w:hAnsi="Tahoma" w:cs="Tahoma"/>
          <w:sz w:val="24"/>
          <w:szCs w:val="24"/>
        </w:rPr>
      </w:pPr>
      <w:r w:rsidRPr="009C6727">
        <w:rPr>
          <w:rFonts w:ascii="Tahoma" w:hAnsi="Tahoma" w:cs="Tahoma"/>
          <w:sz w:val="24"/>
          <w:szCs w:val="24"/>
        </w:rPr>
        <w:t xml:space="preserve">7.13% </w:t>
      </w:r>
      <w:r w:rsidR="00294BF5" w:rsidRPr="009C6727">
        <w:rPr>
          <w:rFonts w:ascii="Tahoma" w:hAnsi="Tahoma" w:cs="Tahoma"/>
          <w:sz w:val="24"/>
          <w:szCs w:val="24"/>
        </w:rPr>
        <w:t xml:space="preserve">of our job applicants declared a disability </w:t>
      </w:r>
      <w:r w:rsidR="00702765" w:rsidRPr="009C6727">
        <w:rPr>
          <w:rFonts w:ascii="Tahoma" w:hAnsi="Tahoma" w:cs="Tahoma"/>
          <w:sz w:val="24"/>
          <w:szCs w:val="24"/>
        </w:rPr>
        <w:t xml:space="preserve">(an increase of 0.81%) </w:t>
      </w:r>
      <w:r w:rsidR="00294BF5" w:rsidRPr="009C6727">
        <w:rPr>
          <w:rFonts w:ascii="Tahoma" w:hAnsi="Tahoma" w:cs="Tahoma"/>
          <w:sz w:val="24"/>
          <w:szCs w:val="24"/>
        </w:rPr>
        <w:t xml:space="preserve">and </w:t>
      </w:r>
      <w:r w:rsidR="004851F2" w:rsidRPr="009C6727">
        <w:rPr>
          <w:rFonts w:ascii="Tahoma" w:hAnsi="Tahoma" w:cs="Tahoma"/>
          <w:sz w:val="24"/>
          <w:szCs w:val="24"/>
        </w:rPr>
        <w:t>8.33</w:t>
      </w:r>
      <w:r w:rsidR="00294BF5" w:rsidRPr="009C6727">
        <w:rPr>
          <w:rFonts w:ascii="Tahoma" w:hAnsi="Tahoma" w:cs="Tahoma"/>
          <w:sz w:val="24"/>
          <w:szCs w:val="24"/>
        </w:rPr>
        <w:t>% of all shortlisted candidates identified as having a disability</w:t>
      </w:r>
      <w:r w:rsidR="004851F2" w:rsidRPr="009C6727">
        <w:rPr>
          <w:rFonts w:ascii="Tahoma" w:hAnsi="Tahoma" w:cs="Tahoma"/>
          <w:sz w:val="24"/>
          <w:szCs w:val="24"/>
        </w:rPr>
        <w:t xml:space="preserve"> (an increase of </w:t>
      </w:r>
      <w:r w:rsidR="00F877C4" w:rsidRPr="009C6727">
        <w:rPr>
          <w:rFonts w:ascii="Tahoma" w:hAnsi="Tahoma" w:cs="Tahoma"/>
          <w:sz w:val="24"/>
          <w:szCs w:val="24"/>
        </w:rPr>
        <w:t>1.33%)</w:t>
      </w:r>
      <w:r w:rsidR="00294BF5" w:rsidRPr="009C6727">
        <w:rPr>
          <w:rFonts w:ascii="Tahoma" w:hAnsi="Tahoma" w:cs="Tahoma"/>
          <w:sz w:val="24"/>
          <w:szCs w:val="24"/>
        </w:rPr>
        <w:t xml:space="preserve">. </w:t>
      </w:r>
      <w:r w:rsidR="009A6AB6" w:rsidRPr="009C6727">
        <w:rPr>
          <w:rFonts w:ascii="Tahoma" w:hAnsi="Tahoma" w:cs="Tahoma"/>
          <w:sz w:val="24"/>
          <w:szCs w:val="24"/>
        </w:rPr>
        <w:t xml:space="preserve"> 6.60% of job offers were made to candidates who identified themselves as having a disability.</w:t>
      </w:r>
    </w:p>
    <w:p w14:paraId="25B523A9" w14:textId="77777777" w:rsidR="00294BF5" w:rsidRPr="009C6727" w:rsidRDefault="00294BF5" w:rsidP="001231F5">
      <w:pPr>
        <w:spacing w:after="0"/>
        <w:jc w:val="both"/>
        <w:rPr>
          <w:rFonts w:ascii="Tahoma" w:hAnsi="Tahoma" w:cs="Tahoma"/>
          <w:sz w:val="24"/>
          <w:szCs w:val="24"/>
        </w:rPr>
      </w:pPr>
    </w:p>
    <w:p w14:paraId="1A4157C0" w14:textId="0AA8C5C2" w:rsidR="00BD5922" w:rsidRPr="009C6727" w:rsidRDefault="00BD5922" w:rsidP="001231F5">
      <w:pPr>
        <w:jc w:val="both"/>
        <w:rPr>
          <w:rFonts w:ascii="Tahoma" w:hAnsi="Tahoma" w:cs="Tahoma"/>
          <w:sz w:val="24"/>
          <w:szCs w:val="24"/>
        </w:rPr>
      </w:pPr>
      <w:r w:rsidRPr="009C6727">
        <w:rPr>
          <w:rFonts w:ascii="Tahoma" w:hAnsi="Tahoma" w:cs="Tahoma"/>
          <w:sz w:val="24"/>
          <w:szCs w:val="24"/>
        </w:rPr>
        <w:t xml:space="preserve">We continue to promote an inclusive </w:t>
      </w:r>
      <w:r w:rsidR="007062E4" w:rsidRPr="009C6727">
        <w:rPr>
          <w:rFonts w:ascii="Tahoma" w:hAnsi="Tahoma" w:cs="Tahoma"/>
          <w:sz w:val="24"/>
          <w:szCs w:val="24"/>
        </w:rPr>
        <w:t>culture but</w:t>
      </w:r>
      <w:r w:rsidRPr="009C6727">
        <w:rPr>
          <w:rFonts w:ascii="Tahoma" w:hAnsi="Tahoma" w:cs="Tahoma"/>
          <w:sz w:val="24"/>
          <w:szCs w:val="24"/>
        </w:rPr>
        <w:t xml:space="preserve"> understand that some people may not feel comfortable sharing a disability during the recruitment process. It is encouraging that many colleagues choose to share this information once they start working with us, so they can access the right support.</w:t>
      </w:r>
    </w:p>
    <w:p w14:paraId="2C3D24AA" w14:textId="1FD3BCA6" w:rsidR="00085C75" w:rsidRPr="009C6727" w:rsidRDefault="00085C75" w:rsidP="00FD390F">
      <w:pPr>
        <w:spacing w:after="0" w:line="288" w:lineRule="auto"/>
        <w:jc w:val="both"/>
        <w:rPr>
          <w:rFonts w:ascii="Tahoma" w:hAnsi="Tahoma" w:cs="Tahoma"/>
          <w:b/>
          <w:bCs/>
          <w:color w:val="002060"/>
          <w:sz w:val="24"/>
          <w:szCs w:val="24"/>
        </w:rPr>
      </w:pPr>
      <w:r w:rsidRPr="009C6727">
        <w:rPr>
          <w:rFonts w:ascii="Tahoma" w:hAnsi="Tahoma" w:cs="Tahoma"/>
          <w:b/>
          <w:bCs/>
          <w:color w:val="002060"/>
          <w:sz w:val="24"/>
          <w:szCs w:val="24"/>
        </w:rPr>
        <w:t xml:space="preserve">Diversity in Leadership </w:t>
      </w:r>
    </w:p>
    <w:p w14:paraId="45C2C6EB" w14:textId="45C6C4CB" w:rsidR="00085C75" w:rsidRPr="009C6727" w:rsidRDefault="00D03EDF" w:rsidP="003C738D">
      <w:pPr>
        <w:spacing w:after="0" w:line="288" w:lineRule="auto"/>
        <w:jc w:val="both"/>
        <w:rPr>
          <w:rFonts w:ascii="Tahoma" w:hAnsi="Tahoma" w:cs="Tahoma"/>
          <w:sz w:val="24"/>
          <w:szCs w:val="24"/>
        </w:rPr>
      </w:pPr>
      <w:r w:rsidRPr="009C6727">
        <w:rPr>
          <w:rFonts w:ascii="Tahoma" w:hAnsi="Tahoma" w:cs="Tahoma"/>
          <w:sz w:val="24"/>
          <w:szCs w:val="24"/>
        </w:rPr>
        <w:t>Equality, d</w:t>
      </w:r>
      <w:r w:rsidR="00085C75" w:rsidRPr="009C6727">
        <w:rPr>
          <w:rFonts w:ascii="Tahoma" w:hAnsi="Tahoma" w:cs="Tahoma"/>
          <w:sz w:val="24"/>
          <w:szCs w:val="24"/>
        </w:rPr>
        <w:t xml:space="preserve">iversity and inclusion </w:t>
      </w:r>
      <w:r w:rsidRPr="009C6727">
        <w:rPr>
          <w:rFonts w:ascii="Tahoma" w:hAnsi="Tahoma" w:cs="Tahoma"/>
          <w:sz w:val="24"/>
          <w:szCs w:val="24"/>
        </w:rPr>
        <w:t xml:space="preserve">(EDI) </w:t>
      </w:r>
      <w:r w:rsidR="00085C75" w:rsidRPr="009C6727">
        <w:rPr>
          <w:rFonts w:ascii="Tahoma" w:hAnsi="Tahoma" w:cs="Tahoma"/>
          <w:sz w:val="24"/>
          <w:szCs w:val="24"/>
        </w:rPr>
        <w:t>is championed at a leadership level</w:t>
      </w:r>
      <w:r w:rsidR="001530FD" w:rsidRPr="009C6727">
        <w:rPr>
          <w:rFonts w:ascii="Tahoma" w:hAnsi="Tahoma" w:cs="Tahoma"/>
          <w:sz w:val="24"/>
          <w:szCs w:val="24"/>
        </w:rPr>
        <w:t xml:space="preserve"> with a dedicated</w:t>
      </w:r>
      <w:r w:rsidR="00910124" w:rsidRPr="009C6727">
        <w:rPr>
          <w:rFonts w:ascii="Tahoma" w:hAnsi="Tahoma" w:cs="Tahoma"/>
          <w:sz w:val="24"/>
          <w:szCs w:val="24"/>
        </w:rPr>
        <w:t xml:space="preserve"> </w:t>
      </w:r>
      <w:r w:rsidR="00651136" w:rsidRPr="009C6727">
        <w:rPr>
          <w:rFonts w:ascii="Tahoma" w:hAnsi="Tahoma" w:cs="Tahoma"/>
          <w:sz w:val="24"/>
          <w:szCs w:val="24"/>
        </w:rPr>
        <w:t xml:space="preserve">Board </w:t>
      </w:r>
      <w:r w:rsidR="00910124" w:rsidRPr="009C6727">
        <w:rPr>
          <w:rFonts w:ascii="Tahoma" w:hAnsi="Tahoma" w:cs="Tahoma"/>
          <w:sz w:val="24"/>
          <w:szCs w:val="24"/>
        </w:rPr>
        <w:t>ED&amp;I</w:t>
      </w:r>
      <w:r w:rsidR="001530FD" w:rsidRPr="009C6727">
        <w:rPr>
          <w:rFonts w:ascii="Tahoma" w:hAnsi="Tahoma" w:cs="Tahoma"/>
          <w:sz w:val="24"/>
          <w:szCs w:val="24"/>
        </w:rPr>
        <w:t xml:space="preserve"> </w:t>
      </w:r>
      <w:r w:rsidR="00910124" w:rsidRPr="009C6727">
        <w:rPr>
          <w:rFonts w:ascii="Tahoma" w:hAnsi="Tahoma" w:cs="Tahoma"/>
          <w:sz w:val="24"/>
          <w:szCs w:val="24"/>
        </w:rPr>
        <w:t>c</w:t>
      </w:r>
      <w:r w:rsidR="001530FD" w:rsidRPr="009C6727">
        <w:rPr>
          <w:rFonts w:ascii="Tahoma" w:hAnsi="Tahoma" w:cs="Tahoma"/>
          <w:sz w:val="24"/>
          <w:szCs w:val="24"/>
        </w:rPr>
        <w:t xml:space="preserve">hampion </w:t>
      </w:r>
      <w:r w:rsidR="00AF3FB0" w:rsidRPr="009C6727">
        <w:rPr>
          <w:rFonts w:ascii="Tahoma" w:hAnsi="Tahoma" w:cs="Tahoma"/>
          <w:sz w:val="24"/>
          <w:szCs w:val="24"/>
        </w:rPr>
        <w:t>and Board agenda items</w:t>
      </w:r>
      <w:r w:rsidR="00651136" w:rsidRPr="009C6727">
        <w:rPr>
          <w:rFonts w:ascii="Tahoma" w:hAnsi="Tahoma" w:cs="Tahoma"/>
          <w:sz w:val="24"/>
          <w:szCs w:val="24"/>
        </w:rPr>
        <w:t xml:space="preserve"> including a focus on EDI</w:t>
      </w:r>
      <w:r w:rsidR="00AF3FB0" w:rsidRPr="009C6727">
        <w:rPr>
          <w:rFonts w:ascii="Tahoma" w:hAnsi="Tahoma" w:cs="Tahoma"/>
          <w:sz w:val="24"/>
          <w:szCs w:val="24"/>
        </w:rPr>
        <w:t xml:space="preserve">. </w:t>
      </w:r>
    </w:p>
    <w:p w14:paraId="4012C446" w14:textId="77777777" w:rsidR="00FD390F" w:rsidRPr="009C6727" w:rsidRDefault="00FD390F" w:rsidP="00FD390F">
      <w:pPr>
        <w:pStyle w:val="ListParagraph"/>
        <w:spacing w:after="0" w:line="288" w:lineRule="auto"/>
        <w:jc w:val="both"/>
        <w:rPr>
          <w:rFonts w:ascii="Tahoma" w:hAnsi="Tahoma" w:cs="Tahoma"/>
          <w:sz w:val="24"/>
          <w:szCs w:val="24"/>
        </w:rPr>
      </w:pPr>
    </w:p>
    <w:p w14:paraId="33AE3C5C" w14:textId="77777777" w:rsidR="00DF4B7F" w:rsidRPr="009C6727" w:rsidRDefault="00DF4B7F">
      <w:pPr>
        <w:rPr>
          <w:rFonts w:ascii="Tahoma" w:hAnsi="Tahoma" w:cs="Tahoma"/>
          <w:sz w:val="24"/>
          <w:szCs w:val="24"/>
        </w:rPr>
      </w:pPr>
      <w:r w:rsidRPr="009C6727">
        <w:rPr>
          <w:rFonts w:ascii="Tahoma" w:hAnsi="Tahoma" w:cs="Tahoma"/>
          <w:sz w:val="24"/>
          <w:szCs w:val="24"/>
        </w:rPr>
        <w:br w:type="page"/>
      </w:r>
    </w:p>
    <w:p w14:paraId="6BDF5137" w14:textId="69386602" w:rsidR="00CD5A98" w:rsidRPr="009C6727" w:rsidRDefault="00D1194B" w:rsidP="00FD390F">
      <w:pPr>
        <w:spacing w:after="0" w:line="288" w:lineRule="auto"/>
        <w:jc w:val="both"/>
        <w:rPr>
          <w:rFonts w:ascii="Tahoma" w:hAnsi="Tahoma" w:cs="Tahoma"/>
          <w:sz w:val="24"/>
          <w:szCs w:val="24"/>
        </w:rPr>
      </w:pPr>
      <w:r w:rsidRPr="009C6727">
        <w:rPr>
          <w:rFonts w:ascii="Tahoma" w:hAnsi="Tahoma" w:cs="Tahoma"/>
          <w:sz w:val="24"/>
          <w:szCs w:val="24"/>
        </w:rPr>
        <w:lastRenderedPageBreak/>
        <w:t>The demographics of</w:t>
      </w:r>
      <w:r w:rsidR="0054739D" w:rsidRPr="009C6727">
        <w:rPr>
          <w:rFonts w:ascii="Tahoma" w:hAnsi="Tahoma" w:cs="Tahoma"/>
          <w:sz w:val="24"/>
          <w:szCs w:val="24"/>
        </w:rPr>
        <w:t xml:space="preserve"> </w:t>
      </w:r>
      <w:r w:rsidR="00CD5A98" w:rsidRPr="009C6727">
        <w:rPr>
          <w:rFonts w:ascii="Tahoma" w:hAnsi="Tahoma" w:cs="Tahoma"/>
          <w:sz w:val="24"/>
          <w:szCs w:val="24"/>
        </w:rPr>
        <w:t xml:space="preserve">our </w:t>
      </w:r>
      <w:r w:rsidR="004D348C" w:rsidRPr="009C6727">
        <w:rPr>
          <w:rFonts w:ascii="Tahoma" w:hAnsi="Tahoma" w:cs="Tahoma"/>
          <w:sz w:val="24"/>
          <w:szCs w:val="24"/>
        </w:rPr>
        <w:t>Leadership team (comprising Board</w:t>
      </w:r>
      <w:r w:rsidR="000940EA" w:rsidRPr="009C6727">
        <w:rPr>
          <w:rFonts w:ascii="Tahoma" w:hAnsi="Tahoma" w:cs="Tahoma"/>
          <w:sz w:val="24"/>
          <w:szCs w:val="24"/>
        </w:rPr>
        <w:t xml:space="preserve"> </w:t>
      </w:r>
      <w:r w:rsidR="0054739D" w:rsidRPr="009C6727">
        <w:rPr>
          <w:rFonts w:ascii="Tahoma" w:hAnsi="Tahoma" w:cs="Tahoma"/>
          <w:sz w:val="24"/>
          <w:szCs w:val="24"/>
        </w:rPr>
        <w:t>and our</w:t>
      </w:r>
      <w:r w:rsidR="004D348C" w:rsidRPr="009C6727">
        <w:rPr>
          <w:rFonts w:ascii="Tahoma" w:hAnsi="Tahoma" w:cs="Tahoma"/>
          <w:sz w:val="24"/>
          <w:szCs w:val="24"/>
        </w:rPr>
        <w:t xml:space="preserve"> </w:t>
      </w:r>
      <w:r w:rsidR="0054739D" w:rsidRPr="009C6727">
        <w:rPr>
          <w:rFonts w:ascii="Tahoma" w:hAnsi="Tahoma" w:cs="Tahoma"/>
          <w:sz w:val="24"/>
          <w:szCs w:val="24"/>
        </w:rPr>
        <w:t xml:space="preserve">Executive Leadership </w:t>
      </w:r>
      <w:r w:rsidR="001F0082" w:rsidRPr="009C6727">
        <w:rPr>
          <w:rFonts w:ascii="Tahoma" w:hAnsi="Tahoma" w:cs="Tahoma"/>
          <w:sz w:val="24"/>
          <w:szCs w:val="24"/>
        </w:rPr>
        <w:t>Team) is</w:t>
      </w:r>
      <w:r w:rsidRPr="009C6727">
        <w:rPr>
          <w:rFonts w:ascii="Tahoma" w:hAnsi="Tahoma" w:cs="Tahoma"/>
          <w:sz w:val="24"/>
          <w:szCs w:val="24"/>
        </w:rPr>
        <w:t xml:space="preserve"> compared with that of our tenants and Preston below.</w:t>
      </w:r>
    </w:p>
    <w:p w14:paraId="4C5EBAFD" w14:textId="77777777" w:rsidR="00DF4B7F" w:rsidRPr="009C6727" w:rsidRDefault="00DF4B7F" w:rsidP="00FD390F">
      <w:pPr>
        <w:spacing w:after="0" w:line="288" w:lineRule="auto"/>
        <w:jc w:val="both"/>
        <w:rPr>
          <w:rFonts w:ascii="Tahoma" w:hAnsi="Tahoma" w:cs="Tahoma"/>
          <w:sz w:val="24"/>
          <w:szCs w:val="24"/>
        </w:rPr>
      </w:pPr>
    </w:p>
    <w:tbl>
      <w:tblPr>
        <w:tblW w:w="10485" w:type="dxa"/>
        <w:tblLayout w:type="fixed"/>
        <w:tblLook w:val="04A0" w:firstRow="1" w:lastRow="0" w:firstColumn="1" w:lastColumn="0" w:noHBand="0" w:noVBand="1"/>
      </w:tblPr>
      <w:tblGrid>
        <w:gridCol w:w="3540"/>
        <w:gridCol w:w="2315"/>
        <w:gridCol w:w="2315"/>
        <w:gridCol w:w="2315"/>
      </w:tblGrid>
      <w:tr w:rsidR="000326D0" w:rsidRPr="009C6727" w14:paraId="145BCA40" w14:textId="77777777" w:rsidTr="000326D0">
        <w:trPr>
          <w:trHeight w:val="525"/>
        </w:trPr>
        <w:tc>
          <w:tcPr>
            <w:tcW w:w="3540" w:type="dxa"/>
            <w:tcBorders>
              <w:top w:val="single" w:sz="4" w:space="0" w:color="auto"/>
              <w:left w:val="single" w:sz="4" w:space="0" w:color="auto"/>
              <w:bottom w:val="single" w:sz="4" w:space="0" w:color="auto"/>
              <w:right w:val="single" w:sz="4" w:space="0" w:color="auto"/>
            </w:tcBorders>
            <w:shd w:val="clear" w:color="000000" w:fill="012169"/>
            <w:vAlign w:val="center"/>
            <w:hideMark/>
          </w:tcPr>
          <w:p w14:paraId="08914426" w14:textId="262CFD31" w:rsidR="000326D0" w:rsidRPr="009C6727" w:rsidRDefault="000326D0" w:rsidP="000326D0">
            <w:pPr>
              <w:spacing w:after="0" w:line="240" w:lineRule="auto"/>
              <w:jc w:val="center"/>
              <w:rPr>
                <w:rFonts w:ascii="Tahoma" w:eastAsia="Times New Roman" w:hAnsi="Tahoma" w:cs="Tahoma"/>
                <w:color w:val="FFFFFF"/>
                <w:sz w:val="24"/>
                <w:szCs w:val="24"/>
                <w:lang w:eastAsia="en-GB"/>
              </w:rPr>
            </w:pPr>
            <w:r w:rsidRPr="009C6727">
              <w:rPr>
                <w:rFonts w:ascii="Tahoma" w:eastAsia="Times New Roman" w:hAnsi="Tahoma" w:cs="Tahoma"/>
                <w:color w:val="FFFFFF"/>
                <w:sz w:val="24"/>
                <w:szCs w:val="24"/>
                <w:lang w:eastAsia="en-GB"/>
              </w:rPr>
              <w:t>Demographic </w:t>
            </w:r>
          </w:p>
        </w:tc>
        <w:tc>
          <w:tcPr>
            <w:tcW w:w="2315" w:type="dxa"/>
            <w:tcBorders>
              <w:top w:val="single" w:sz="4" w:space="0" w:color="auto"/>
              <w:left w:val="nil"/>
              <w:bottom w:val="single" w:sz="4" w:space="0" w:color="auto"/>
              <w:right w:val="single" w:sz="4" w:space="0" w:color="auto"/>
            </w:tcBorders>
            <w:shd w:val="clear" w:color="000000" w:fill="012169"/>
            <w:vAlign w:val="center"/>
            <w:hideMark/>
          </w:tcPr>
          <w:p w14:paraId="47F02532" w14:textId="77777777" w:rsidR="000326D0" w:rsidRPr="009C6727" w:rsidRDefault="000326D0" w:rsidP="000326D0">
            <w:pPr>
              <w:spacing w:after="0" w:line="240" w:lineRule="auto"/>
              <w:jc w:val="center"/>
              <w:rPr>
                <w:rFonts w:ascii="Tahoma" w:eastAsia="Times New Roman" w:hAnsi="Tahoma" w:cs="Tahoma"/>
                <w:color w:val="FFFFFF"/>
                <w:sz w:val="24"/>
                <w:szCs w:val="24"/>
                <w:lang w:eastAsia="en-GB"/>
              </w:rPr>
            </w:pPr>
            <w:r w:rsidRPr="009C6727">
              <w:rPr>
                <w:rFonts w:ascii="Tahoma" w:eastAsia="Times New Roman" w:hAnsi="Tahoma" w:cs="Tahoma"/>
                <w:color w:val="FFFFFF"/>
                <w:sz w:val="24"/>
                <w:szCs w:val="24"/>
                <w:lang w:eastAsia="en-GB"/>
              </w:rPr>
              <w:t>CGA Leadership</w:t>
            </w:r>
          </w:p>
        </w:tc>
        <w:tc>
          <w:tcPr>
            <w:tcW w:w="2315" w:type="dxa"/>
            <w:tcBorders>
              <w:top w:val="single" w:sz="4" w:space="0" w:color="auto"/>
              <w:left w:val="nil"/>
              <w:bottom w:val="single" w:sz="4" w:space="0" w:color="auto"/>
              <w:right w:val="single" w:sz="4" w:space="0" w:color="auto"/>
            </w:tcBorders>
            <w:shd w:val="clear" w:color="000000" w:fill="012169"/>
            <w:vAlign w:val="center"/>
            <w:hideMark/>
          </w:tcPr>
          <w:p w14:paraId="62CFBC43" w14:textId="77777777" w:rsidR="000326D0" w:rsidRPr="009C6727" w:rsidRDefault="000326D0" w:rsidP="000326D0">
            <w:pPr>
              <w:spacing w:after="0" w:line="240" w:lineRule="auto"/>
              <w:jc w:val="center"/>
              <w:rPr>
                <w:rFonts w:ascii="Tahoma" w:eastAsia="Times New Roman" w:hAnsi="Tahoma" w:cs="Tahoma"/>
                <w:color w:val="FFFFFF"/>
                <w:sz w:val="24"/>
                <w:szCs w:val="24"/>
                <w:lang w:eastAsia="en-GB"/>
              </w:rPr>
            </w:pPr>
            <w:r w:rsidRPr="009C6727">
              <w:rPr>
                <w:rFonts w:ascii="Tahoma" w:eastAsia="Times New Roman" w:hAnsi="Tahoma" w:cs="Tahoma"/>
                <w:color w:val="FFFFFF"/>
                <w:sz w:val="24"/>
                <w:szCs w:val="24"/>
                <w:lang w:eastAsia="en-GB"/>
              </w:rPr>
              <w:t>Preston Census 2021</w:t>
            </w:r>
          </w:p>
        </w:tc>
        <w:tc>
          <w:tcPr>
            <w:tcW w:w="2315" w:type="dxa"/>
            <w:tcBorders>
              <w:top w:val="single" w:sz="4" w:space="0" w:color="auto"/>
              <w:left w:val="nil"/>
              <w:bottom w:val="single" w:sz="4" w:space="0" w:color="auto"/>
              <w:right w:val="single" w:sz="4" w:space="0" w:color="auto"/>
            </w:tcBorders>
            <w:shd w:val="clear" w:color="000000" w:fill="012169"/>
            <w:vAlign w:val="center"/>
            <w:hideMark/>
          </w:tcPr>
          <w:p w14:paraId="56765305" w14:textId="6DA2C2CB" w:rsidR="000326D0" w:rsidRPr="009C6727" w:rsidRDefault="00BC7D8D" w:rsidP="000326D0">
            <w:pPr>
              <w:spacing w:after="0" w:line="240" w:lineRule="auto"/>
              <w:jc w:val="center"/>
              <w:rPr>
                <w:rFonts w:ascii="Tahoma" w:eastAsia="Times New Roman" w:hAnsi="Tahoma" w:cs="Tahoma"/>
                <w:color w:val="FFFFFF"/>
                <w:sz w:val="24"/>
                <w:szCs w:val="24"/>
                <w:lang w:eastAsia="en-GB"/>
              </w:rPr>
            </w:pPr>
            <w:r w:rsidRPr="009C6727">
              <w:rPr>
                <w:rFonts w:ascii="Tahoma" w:hAnsi="Tahoma" w:cs="Tahoma"/>
                <w:sz w:val="24"/>
                <w:szCs w:val="24"/>
              </w:rPr>
              <w:t xml:space="preserve">Tenant profile </w:t>
            </w:r>
            <w:r w:rsidRPr="009C6727">
              <w:rPr>
                <w:rFonts w:ascii="Tahoma" w:hAnsi="Tahoma" w:cs="Tahoma"/>
                <w:color w:val="FFFFFF" w:themeColor="background1"/>
                <w:sz w:val="24"/>
                <w:szCs w:val="24"/>
              </w:rPr>
              <w:t>2025/26</w:t>
            </w:r>
          </w:p>
        </w:tc>
      </w:tr>
      <w:tr w:rsidR="00DF4B7F" w:rsidRPr="009C6727" w14:paraId="651A248F" w14:textId="77777777" w:rsidTr="00520C06">
        <w:trPr>
          <w:trHeight w:val="300"/>
        </w:trPr>
        <w:tc>
          <w:tcPr>
            <w:tcW w:w="3540" w:type="dxa"/>
            <w:tcBorders>
              <w:top w:val="nil"/>
              <w:left w:val="single" w:sz="4" w:space="0" w:color="auto"/>
              <w:bottom w:val="single" w:sz="4" w:space="0" w:color="auto"/>
              <w:right w:val="single" w:sz="4" w:space="0" w:color="auto"/>
            </w:tcBorders>
            <w:vAlign w:val="center"/>
            <w:hideMark/>
          </w:tcPr>
          <w:p w14:paraId="206AAE27" w14:textId="2BF7B5DC" w:rsidR="00DF4B7F" w:rsidRPr="009C6727" w:rsidRDefault="00DF4B7F" w:rsidP="00DF4B7F">
            <w:pPr>
              <w:spacing w:after="0" w:line="240" w:lineRule="auto"/>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Percentage of Female</w:t>
            </w:r>
          </w:p>
        </w:tc>
        <w:tc>
          <w:tcPr>
            <w:tcW w:w="2315" w:type="dxa"/>
            <w:tcBorders>
              <w:top w:val="nil"/>
              <w:left w:val="nil"/>
              <w:bottom w:val="single" w:sz="4" w:space="0" w:color="auto"/>
              <w:right w:val="single" w:sz="4" w:space="0" w:color="auto"/>
            </w:tcBorders>
            <w:vAlign w:val="center"/>
            <w:hideMark/>
          </w:tcPr>
          <w:p w14:paraId="37A7CAC9" w14:textId="0673C78C" w:rsidR="00DF4B7F" w:rsidRPr="009C6727" w:rsidRDefault="00DF4B7F" w:rsidP="00DF4B7F">
            <w:pPr>
              <w:spacing w:after="0" w:line="240" w:lineRule="auto"/>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46.66%</w:t>
            </w:r>
          </w:p>
        </w:tc>
        <w:tc>
          <w:tcPr>
            <w:tcW w:w="2315" w:type="dxa"/>
            <w:tcBorders>
              <w:top w:val="nil"/>
              <w:left w:val="nil"/>
              <w:bottom w:val="single" w:sz="4" w:space="0" w:color="auto"/>
              <w:right w:val="single" w:sz="4" w:space="0" w:color="auto"/>
            </w:tcBorders>
            <w:vAlign w:val="center"/>
            <w:hideMark/>
          </w:tcPr>
          <w:p w14:paraId="3B1B58D6" w14:textId="67084B3B" w:rsidR="00DF4B7F" w:rsidRPr="009C6727" w:rsidRDefault="00DF4B7F" w:rsidP="00DF4B7F">
            <w:pPr>
              <w:spacing w:after="0" w:line="240" w:lineRule="auto"/>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50.10%</w:t>
            </w:r>
          </w:p>
        </w:tc>
        <w:tc>
          <w:tcPr>
            <w:tcW w:w="2315" w:type="dxa"/>
            <w:tcBorders>
              <w:top w:val="nil"/>
              <w:left w:val="nil"/>
              <w:bottom w:val="single" w:sz="4" w:space="0" w:color="auto"/>
              <w:right w:val="single" w:sz="4" w:space="0" w:color="auto"/>
            </w:tcBorders>
            <w:hideMark/>
          </w:tcPr>
          <w:p w14:paraId="232BDF16" w14:textId="57A74A02" w:rsidR="00DF4B7F" w:rsidRPr="009C6727" w:rsidRDefault="00DF4B7F" w:rsidP="00DF4B7F">
            <w:pPr>
              <w:spacing w:after="0" w:line="240" w:lineRule="auto"/>
              <w:jc w:val="center"/>
              <w:rPr>
                <w:rFonts w:ascii="Tahoma" w:eastAsia="Times New Roman" w:hAnsi="Tahoma" w:cs="Tahoma"/>
                <w:color w:val="000000"/>
                <w:sz w:val="24"/>
                <w:szCs w:val="24"/>
                <w:lang w:eastAsia="en-GB"/>
              </w:rPr>
            </w:pPr>
            <w:r w:rsidRPr="009C6727">
              <w:rPr>
                <w:rFonts w:ascii="Tahoma" w:hAnsi="Tahoma" w:cs="Tahoma"/>
                <w:sz w:val="24"/>
                <w:szCs w:val="24"/>
              </w:rPr>
              <w:t>61.43%</w:t>
            </w:r>
          </w:p>
        </w:tc>
      </w:tr>
      <w:tr w:rsidR="00DF4B7F" w:rsidRPr="009C6727" w14:paraId="63914887" w14:textId="77777777" w:rsidTr="00520C06">
        <w:trPr>
          <w:trHeight w:val="300"/>
        </w:trPr>
        <w:tc>
          <w:tcPr>
            <w:tcW w:w="3540" w:type="dxa"/>
            <w:tcBorders>
              <w:top w:val="nil"/>
              <w:left w:val="single" w:sz="4" w:space="0" w:color="auto"/>
              <w:bottom w:val="single" w:sz="4" w:space="0" w:color="auto"/>
              <w:right w:val="single" w:sz="4" w:space="0" w:color="auto"/>
            </w:tcBorders>
            <w:vAlign w:val="center"/>
            <w:hideMark/>
          </w:tcPr>
          <w:p w14:paraId="36F96C6C" w14:textId="4C685015" w:rsidR="00DF4B7F" w:rsidRPr="009C6727" w:rsidRDefault="00DF4B7F" w:rsidP="00DF4B7F">
            <w:pPr>
              <w:spacing w:after="0" w:line="240" w:lineRule="auto"/>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Percentage of Male</w:t>
            </w:r>
          </w:p>
        </w:tc>
        <w:tc>
          <w:tcPr>
            <w:tcW w:w="2315" w:type="dxa"/>
            <w:tcBorders>
              <w:top w:val="nil"/>
              <w:left w:val="nil"/>
              <w:bottom w:val="single" w:sz="4" w:space="0" w:color="auto"/>
              <w:right w:val="single" w:sz="4" w:space="0" w:color="auto"/>
            </w:tcBorders>
            <w:vAlign w:val="center"/>
            <w:hideMark/>
          </w:tcPr>
          <w:p w14:paraId="19C14959" w14:textId="267C3AD8" w:rsidR="00DF4B7F" w:rsidRPr="009C6727" w:rsidRDefault="00DF4B7F" w:rsidP="00DF4B7F">
            <w:pPr>
              <w:spacing w:after="0" w:line="240" w:lineRule="auto"/>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53.33%</w:t>
            </w:r>
          </w:p>
        </w:tc>
        <w:tc>
          <w:tcPr>
            <w:tcW w:w="2315" w:type="dxa"/>
            <w:tcBorders>
              <w:top w:val="nil"/>
              <w:left w:val="nil"/>
              <w:bottom w:val="single" w:sz="4" w:space="0" w:color="auto"/>
              <w:right w:val="single" w:sz="4" w:space="0" w:color="auto"/>
            </w:tcBorders>
            <w:vAlign w:val="center"/>
            <w:hideMark/>
          </w:tcPr>
          <w:p w14:paraId="27279434" w14:textId="093012B4" w:rsidR="00DF4B7F" w:rsidRPr="009C6727" w:rsidRDefault="00DF4B7F" w:rsidP="00DF4B7F">
            <w:pPr>
              <w:spacing w:after="0" w:line="240" w:lineRule="auto"/>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49.90%</w:t>
            </w:r>
          </w:p>
        </w:tc>
        <w:tc>
          <w:tcPr>
            <w:tcW w:w="2315" w:type="dxa"/>
            <w:tcBorders>
              <w:top w:val="nil"/>
              <w:left w:val="nil"/>
              <w:bottom w:val="single" w:sz="4" w:space="0" w:color="auto"/>
              <w:right w:val="single" w:sz="4" w:space="0" w:color="auto"/>
            </w:tcBorders>
            <w:hideMark/>
          </w:tcPr>
          <w:p w14:paraId="346D6390" w14:textId="6E6B5E9E" w:rsidR="00DF4B7F" w:rsidRPr="009C6727" w:rsidRDefault="00DF4B7F" w:rsidP="00DF4B7F">
            <w:pPr>
              <w:spacing w:after="0" w:line="240" w:lineRule="auto"/>
              <w:jc w:val="center"/>
              <w:rPr>
                <w:rFonts w:ascii="Tahoma" w:eastAsia="Times New Roman" w:hAnsi="Tahoma" w:cs="Tahoma"/>
                <w:color w:val="000000"/>
                <w:sz w:val="24"/>
                <w:szCs w:val="24"/>
                <w:lang w:eastAsia="en-GB"/>
              </w:rPr>
            </w:pPr>
            <w:r w:rsidRPr="009C6727">
              <w:rPr>
                <w:rFonts w:ascii="Tahoma" w:hAnsi="Tahoma" w:cs="Tahoma"/>
                <w:sz w:val="24"/>
                <w:szCs w:val="24"/>
              </w:rPr>
              <w:t>38.48%</w:t>
            </w:r>
          </w:p>
        </w:tc>
      </w:tr>
      <w:tr w:rsidR="000326D0" w:rsidRPr="009C6727" w14:paraId="702967D9" w14:textId="77777777">
        <w:trPr>
          <w:trHeight w:val="570"/>
        </w:trPr>
        <w:tc>
          <w:tcPr>
            <w:tcW w:w="3540" w:type="dxa"/>
            <w:tcBorders>
              <w:top w:val="nil"/>
              <w:left w:val="single" w:sz="4" w:space="0" w:color="auto"/>
              <w:bottom w:val="single" w:sz="4" w:space="0" w:color="auto"/>
              <w:right w:val="single" w:sz="4" w:space="0" w:color="auto"/>
            </w:tcBorders>
            <w:vAlign w:val="center"/>
            <w:hideMark/>
          </w:tcPr>
          <w:p w14:paraId="57984C3E" w14:textId="087B71D0" w:rsidR="000326D0" w:rsidRPr="009C6727" w:rsidRDefault="000326D0" w:rsidP="000326D0">
            <w:pPr>
              <w:spacing w:after="0" w:line="240" w:lineRule="auto"/>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Percentage declaring a disability / LT Health condition</w:t>
            </w:r>
          </w:p>
        </w:tc>
        <w:tc>
          <w:tcPr>
            <w:tcW w:w="2315" w:type="dxa"/>
            <w:tcBorders>
              <w:top w:val="nil"/>
              <w:left w:val="nil"/>
              <w:bottom w:val="single" w:sz="4" w:space="0" w:color="auto"/>
              <w:right w:val="single" w:sz="4" w:space="0" w:color="auto"/>
            </w:tcBorders>
            <w:vAlign w:val="center"/>
            <w:hideMark/>
          </w:tcPr>
          <w:p w14:paraId="08B1C144" w14:textId="29C86590" w:rsidR="000326D0" w:rsidRPr="009C6727" w:rsidRDefault="0067048E" w:rsidP="000326D0">
            <w:pPr>
              <w:spacing w:after="0" w:line="240" w:lineRule="auto"/>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13.33</w:t>
            </w:r>
            <w:r w:rsidR="000326D0" w:rsidRPr="009C6727">
              <w:rPr>
                <w:rFonts w:ascii="Tahoma" w:hAnsi="Tahoma" w:cs="Tahoma"/>
                <w:color w:val="000000"/>
                <w:sz w:val="24"/>
                <w:szCs w:val="24"/>
              </w:rPr>
              <w:t>%</w:t>
            </w:r>
          </w:p>
        </w:tc>
        <w:tc>
          <w:tcPr>
            <w:tcW w:w="2315" w:type="dxa"/>
            <w:tcBorders>
              <w:top w:val="nil"/>
              <w:left w:val="nil"/>
              <w:bottom w:val="single" w:sz="4" w:space="0" w:color="auto"/>
              <w:right w:val="single" w:sz="4" w:space="0" w:color="auto"/>
            </w:tcBorders>
            <w:vAlign w:val="center"/>
            <w:hideMark/>
          </w:tcPr>
          <w:p w14:paraId="264FFFE8" w14:textId="7C089051" w:rsidR="000326D0" w:rsidRPr="009C6727" w:rsidRDefault="00DF4B7F" w:rsidP="000326D0">
            <w:pPr>
              <w:spacing w:after="0" w:line="240" w:lineRule="auto"/>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24.40</w:t>
            </w:r>
            <w:r w:rsidR="000326D0" w:rsidRPr="009C6727">
              <w:rPr>
                <w:rFonts w:ascii="Tahoma" w:hAnsi="Tahoma" w:cs="Tahoma"/>
                <w:color w:val="000000"/>
                <w:sz w:val="24"/>
                <w:szCs w:val="24"/>
              </w:rPr>
              <w:t>%</w:t>
            </w:r>
          </w:p>
        </w:tc>
        <w:tc>
          <w:tcPr>
            <w:tcW w:w="2315" w:type="dxa"/>
            <w:tcBorders>
              <w:top w:val="nil"/>
              <w:left w:val="nil"/>
              <w:bottom w:val="single" w:sz="4" w:space="0" w:color="auto"/>
              <w:right w:val="single" w:sz="4" w:space="0" w:color="auto"/>
            </w:tcBorders>
            <w:noWrap/>
            <w:vAlign w:val="center"/>
            <w:hideMark/>
          </w:tcPr>
          <w:p w14:paraId="66193594" w14:textId="03492757" w:rsidR="000326D0" w:rsidRPr="009C6727" w:rsidRDefault="00806178" w:rsidP="00806178">
            <w:pPr>
              <w:spacing w:after="0" w:line="240" w:lineRule="auto"/>
              <w:jc w:val="center"/>
              <w:rPr>
                <w:rFonts w:ascii="Tahoma" w:hAnsi="Tahoma" w:cs="Tahoma"/>
                <w:color w:val="000000"/>
                <w:sz w:val="24"/>
                <w:szCs w:val="24"/>
              </w:rPr>
            </w:pPr>
            <w:r w:rsidRPr="009C6727">
              <w:rPr>
                <w:rFonts w:ascii="Tahoma" w:hAnsi="Tahoma" w:cs="Tahoma"/>
                <w:color w:val="000000"/>
                <w:sz w:val="24"/>
                <w:szCs w:val="24"/>
              </w:rPr>
              <w:t>29.95</w:t>
            </w:r>
            <w:r w:rsidR="000326D0" w:rsidRPr="009C6727">
              <w:rPr>
                <w:rFonts w:ascii="Tahoma" w:hAnsi="Tahoma" w:cs="Tahoma"/>
                <w:color w:val="000000"/>
                <w:sz w:val="24"/>
                <w:szCs w:val="24"/>
              </w:rPr>
              <w:t>%</w:t>
            </w:r>
          </w:p>
        </w:tc>
      </w:tr>
      <w:tr w:rsidR="000326D0" w:rsidRPr="009C6727" w14:paraId="1965B695" w14:textId="77777777" w:rsidTr="000326D0">
        <w:trPr>
          <w:trHeight w:val="600"/>
        </w:trPr>
        <w:tc>
          <w:tcPr>
            <w:tcW w:w="3540" w:type="dxa"/>
            <w:tcBorders>
              <w:top w:val="nil"/>
              <w:left w:val="single" w:sz="4" w:space="0" w:color="auto"/>
              <w:bottom w:val="single" w:sz="4" w:space="0" w:color="auto"/>
              <w:right w:val="single" w:sz="4" w:space="0" w:color="auto"/>
            </w:tcBorders>
            <w:vAlign w:val="center"/>
            <w:hideMark/>
          </w:tcPr>
          <w:p w14:paraId="7F81DE0C" w14:textId="2C22C57B" w:rsidR="000326D0" w:rsidRPr="009C6727" w:rsidRDefault="000326D0" w:rsidP="000326D0">
            <w:pPr>
              <w:spacing w:after="0" w:line="240" w:lineRule="auto"/>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Percentage identifying as from an ethnic minority group</w:t>
            </w:r>
          </w:p>
        </w:tc>
        <w:tc>
          <w:tcPr>
            <w:tcW w:w="2315" w:type="dxa"/>
            <w:tcBorders>
              <w:top w:val="nil"/>
              <w:left w:val="nil"/>
              <w:bottom w:val="single" w:sz="4" w:space="0" w:color="auto"/>
              <w:right w:val="single" w:sz="4" w:space="0" w:color="auto"/>
            </w:tcBorders>
            <w:vAlign w:val="center"/>
            <w:hideMark/>
          </w:tcPr>
          <w:p w14:paraId="34307A0E" w14:textId="383F2D66" w:rsidR="000326D0" w:rsidRPr="009C6727" w:rsidRDefault="00134751" w:rsidP="000326D0">
            <w:pPr>
              <w:spacing w:after="0" w:line="240" w:lineRule="auto"/>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20.00</w:t>
            </w:r>
            <w:r w:rsidR="000326D0" w:rsidRPr="009C6727">
              <w:rPr>
                <w:rFonts w:ascii="Tahoma" w:hAnsi="Tahoma" w:cs="Tahoma"/>
                <w:color w:val="000000"/>
                <w:sz w:val="24"/>
                <w:szCs w:val="24"/>
              </w:rPr>
              <w:t>%</w:t>
            </w:r>
          </w:p>
        </w:tc>
        <w:tc>
          <w:tcPr>
            <w:tcW w:w="2315" w:type="dxa"/>
            <w:tcBorders>
              <w:top w:val="nil"/>
              <w:left w:val="nil"/>
              <w:bottom w:val="single" w:sz="4" w:space="0" w:color="auto"/>
              <w:right w:val="single" w:sz="4" w:space="0" w:color="auto"/>
            </w:tcBorders>
            <w:vAlign w:val="center"/>
            <w:hideMark/>
          </w:tcPr>
          <w:p w14:paraId="42C74320" w14:textId="75AF5BBB" w:rsidR="000326D0" w:rsidRPr="009C6727" w:rsidRDefault="000326D0" w:rsidP="000326D0">
            <w:pPr>
              <w:spacing w:after="0" w:line="240" w:lineRule="auto"/>
              <w:jc w:val="center"/>
              <w:rPr>
                <w:rFonts w:ascii="Tahoma" w:eastAsia="Times New Roman" w:hAnsi="Tahoma" w:cs="Tahoma"/>
                <w:color w:val="000000"/>
                <w:sz w:val="24"/>
                <w:szCs w:val="24"/>
                <w:lang w:eastAsia="en-GB"/>
              </w:rPr>
            </w:pPr>
            <w:r w:rsidRPr="009C6727">
              <w:rPr>
                <w:rFonts w:ascii="Tahoma" w:hAnsi="Tahoma" w:cs="Tahoma"/>
                <w:color w:val="000000"/>
                <w:sz w:val="24"/>
                <w:szCs w:val="24"/>
              </w:rPr>
              <w:t>27.40%</w:t>
            </w:r>
          </w:p>
        </w:tc>
        <w:tc>
          <w:tcPr>
            <w:tcW w:w="2315" w:type="dxa"/>
            <w:tcBorders>
              <w:top w:val="nil"/>
              <w:left w:val="nil"/>
              <w:bottom w:val="single" w:sz="4" w:space="0" w:color="auto"/>
              <w:right w:val="single" w:sz="4" w:space="0" w:color="auto"/>
            </w:tcBorders>
            <w:vAlign w:val="center"/>
            <w:hideMark/>
          </w:tcPr>
          <w:p w14:paraId="71670CDF" w14:textId="1F852D9E" w:rsidR="000326D0" w:rsidRPr="009C6727" w:rsidRDefault="00DF4B7F" w:rsidP="000326D0">
            <w:pPr>
              <w:spacing w:after="0" w:line="240" w:lineRule="auto"/>
              <w:jc w:val="center"/>
              <w:rPr>
                <w:rFonts w:ascii="Tahoma" w:eastAsia="Times New Roman" w:hAnsi="Tahoma" w:cs="Tahoma"/>
                <w:color w:val="000000"/>
                <w:sz w:val="24"/>
                <w:szCs w:val="24"/>
                <w:lang w:eastAsia="en-GB"/>
              </w:rPr>
            </w:pPr>
            <w:r w:rsidRPr="009C6727">
              <w:rPr>
                <w:rFonts w:ascii="Tahoma" w:eastAsia="Times New Roman" w:hAnsi="Tahoma" w:cs="Tahoma"/>
                <w:color w:val="000000"/>
                <w:sz w:val="24"/>
                <w:szCs w:val="24"/>
                <w:lang w:eastAsia="en-GB"/>
              </w:rPr>
              <w:t>21.82%</w:t>
            </w:r>
          </w:p>
        </w:tc>
      </w:tr>
    </w:tbl>
    <w:p w14:paraId="44AEF011" w14:textId="77777777" w:rsidR="00FD390F" w:rsidRPr="009C6727" w:rsidRDefault="00FD390F" w:rsidP="00FD390F">
      <w:pPr>
        <w:spacing w:after="0" w:line="288" w:lineRule="auto"/>
        <w:jc w:val="both"/>
        <w:rPr>
          <w:rFonts w:ascii="Tahoma" w:hAnsi="Tahoma" w:cs="Tahoma"/>
          <w:sz w:val="24"/>
          <w:szCs w:val="24"/>
        </w:rPr>
      </w:pPr>
    </w:p>
    <w:p w14:paraId="525EC983" w14:textId="6A73405B" w:rsidR="00E50618" w:rsidRPr="009C6727" w:rsidRDefault="00E50618" w:rsidP="00FD390F">
      <w:pPr>
        <w:spacing w:after="0" w:line="288" w:lineRule="auto"/>
        <w:jc w:val="both"/>
        <w:rPr>
          <w:rFonts w:ascii="Tahoma" w:hAnsi="Tahoma" w:cs="Tahoma"/>
          <w:b/>
          <w:color w:val="012169"/>
          <w:sz w:val="24"/>
          <w:szCs w:val="24"/>
        </w:rPr>
      </w:pPr>
      <w:r w:rsidRPr="009C6727">
        <w:rPr>
          <w:rFonts w:ascii="Tahoma" w:hAnsi="Tahoma" w:cs="Tahoma"/>
          <w:b/>
          <w:color w:val="012169"/>
          <w:sz w:val="24"/>
          <w:szCs w:val="24"/>
        </w:rPr>
        <w:t xml:space="preserve">Gender Pay Gap </w:t>
      </w:r>
    </w:p>
    <w:p w14:paraId="161422C7" w14:textId="77777777" w:rsidR="00350AFD" w:rsidRPr="009C6727" w:rsidRDefault="00350AFD" w:rsidP="00350AFD">
      <w:pPr>
        <w:spacing w:after="0" w:line="288" w:lineRule="auto"/>
        <w:jc w:val="both"/>
        <w:rPr>
          <w:rFonts w:ascii="Tahoma" w:hAnsi="Tahoma" w:cs="Tahoma"/>
          <w:sz w:val="24"/>
          <w:szCs w:val="24"/>
        </w:rPr>
      </w:pPr>
      <w:r w:rsidRPr="009C6727">
        <w:rPr>
          <w:rFonts w:ascii="Tahoma" w:hAnsi="Tahoma" w:cs="Tahoma"/>
          <w:sz w:val="24"/>
          <w:szCs w:val="24"/>
        </w:rPr>
        <w:t>All organisations employing over 250 people are required to publish their gender pay gap each year.  At the snapshot date of 5</w:t>
      </w:r>
      <w:r w:rsidRPr="009C6727">
        <w:rPr>
          <w:rFonts w:ascii="Tahoma" w:hAnsi="Tahoma" w:cs="Tahoma"/>
          <w:sz w:val="24"/>
          <w:szCs w:val="24"/>
          <w:vertAlign w:val="superscript"/>
        </w:rPr>
        <w:t>th</w:t>
      </w:r>
      <w:r w:rsidRPr="009C6727">
        <w:rPr>
          <w:rFonts w:ascii="Tahoma" w:hAnsi="Tahoma" w:cs="Tahoma"/>
          <w:sz w:val="24"/>
          <w:szCs w:val="24"/>
        </w:rPr>
        <w:t> April 2026, we employed 310 colleagues. </w:t>
      </w:r>
    </w:p>
    <w:p w14:paraId="3EF790D8" w14:textId="77777777" w:rsidR="00350AFD" w:rsidRPr="009C6727" w:rsidRDefault="00350AFD" w:rsidP="00350AFD">
      <w:pPr>
        <w:spacing w:after="0" w:line="288" w:lineRule="auto"/>
        <w:jc w:val="both"/>
        <w:rPr>
          <w:rFonts w:ascii="Tahoma" w:hAnsi="Tahoma" w:cs="Tahoma"/>
          <w:sz w:val="24"/>
          <w:szCs w:val="24"/>
        </w:rPr>
      </w:pPr>
    </w:p>
    <w:p w14:paraId="1D86D881" w14:textId="77777777" w:rsidR="00350AFD" w:rsidRPr="009C6727" w:rsidRDefault="00350AFD" w:rsidP="00350AFD">
      <w:pPr>
        <w:spacing w:after="0" w:line="288" w:lineRule="auto"/>
        <w:jc w:val="both"/>
        <w:rPr>
          <w:rFonts w:ascii="Tahoma" w:hAnsi="Tahoma" w:cs="Tahoma"/>
          <w:sz w:val="24"/>
          <w:szCs w:val="24"/>
        </w:rPr>
      </w:pPr>
      <w:r w:rsidRPr="009C6727">
        <w:rPr>
          <w:rFonts w:ascii="Tahoma" w:hAnsi="Tahoma" w:cs="Tahoma"/>
          <w:sz w:val="24"/>
          <w:szCs w:val="24"/>
        </w:rPr>
        <w:t>As an organisation, publishing and monitoring pay gaps will help us understand the reasons for any gap and consider whether there is a need to develop action plans to tackle the causes. This is different from equal pay, which highlights when people are paid differently for the same job. </w:t>
      </w:r>
    </w:p>
    <w:p w14:paraId="55F656D6" w14:textId="77777777" w:rsidR="00350AFD" w:rsidRPr="009C6727" w:rsidRDefault="00350AFD" w:rsidP="00350AFD">
      <w:pPr>
        <w:spacing w:after="0" w:line="288" w:lineRule="auto"/>
        <w:jc w:val="both"/>
        <w:rPr>
          <w:rFonts w:ascii="Tahoma" w:hAnsi="Tahoma" w:cs="Tahoma"/>
          <w:sz w:val="24"/>
          <w:szCs w:val="24"/>
        </w:rPr>
      </w:pPr>
    </w:p>
    <w:p w14:paraId="363A7603" w14:textId="3A7C8490" w:rsidR="00350AFD" w:rsidRPr="009C6727" w:rsidRDefault="00350AFD" w:rsidP="00350AFD">
      <w:pPr>
        <w:spacing w:after="0" w:line="288" w:lineRule="auto"/>
        <w:jc w:val="both"/>
        <w:rPr>
          <w:rFonts w:ascii="Tahoma" w:hAnsi="Tahoma" w:cs="Tahoma"/>
          <w:sz w:val="24"/>
          <w:szCs w:val="24"/>
        </w:rPr>
      </w:pPr>
      <w:r w:rsidRPr="009C6727">
        <w:rPr>
          <w:rFonts w:ascii="Tahoma" w:hAnsi="Tahoma" w:cs="Tahoma"/>
          <w:sz w:val="24"/>
          <w:szCs w:val="24"/>
        </w:rPr>
        <w:t>Our mean (average) Gender Pay Gap equates to -1.22%, meaning that males are paid on average 24 pence per hour less than females.   Last year our mean Gender </w:t>
      </w:r>
      <w:proofErr w:type="gramStart"/>
      <w:r w:rsidRPr="009C6727">
        <w:rPr>
          <w:rFonts w:ascii="Tahoma" w:hAnsi="Tahoma" w:cs="Tahoma"/>
          <w:sz w:val="24"/>
          <w:szCs w:val="24"/>
        </w:rPr>
        <w:t>Pay</w:t>
      </w:r>
      <w:proofErr w:type="gramEnd"/>
      <w:r w:rsidRPr="009C6727">
        <w:rPr>
          <w:rFonts w:ascii="Tahoma" w:hAnsi="Tahoma" w:cs="Tahoma"/>
          <w:sz w:val="24"/>
          <w:szCs w:val="24"/>
        </w:rPr>
        <w:t> Gap was 2.16%, so this represents a positive shift and shows progress in balancing pay overall. </w:t>
      </w:r>
    </w:p>
    <w:p w14:paraId="7BCE139F" w14:textId="77777777" w:rsidR="00350AFD" w:rsidRPr="009C6727" w:rsidRDefault="00350AFD" w:rsidP="00350AFD">
      <w:pPr>
        <w:spacing w:after="0" w:line="288" w:lineRule="auto"/>
        <w:jc w:val="both"/>
        <w:rPr>
          <w:rFonts w:ascii="Tahoma" w:hAnsi="Tahoma" w:cs="Tahoma"/>
          <w:sz w:val="24"/>
          <w:szCs w:val="24"/>
        </w:rPr>
      </w:pPr>
      <w:r w:rsidRPr="009C6727">
        <w:rPr>
          <w:rFonts w:ascii="Tahoma" w:hAnsi="Tahoma" w:cs="Tahoma"/>
          <w:sz w:val="24"/>
          <w:szCs w:val="24"/>
        </w:rPr>
        <w:t> </w:t>
      </w:r>
    </w:p>
    <w:p w14:paraId="2BD3C65B" w14:textId="77777777" w:rsidR="00350AFD" w:rsidRPr="009C6727" w:rsidRDefault="00350AFD" w:rsidP="00350AFD">
      <w:pPr>
        <w:spacing w:after="0" w:line="288" w:lineRule="auto"/>
        <w:jc w:val="both"/>
        <w:rPr>
          <w:rFonts w:ascii="Tahoma" w:hAnsi="Tahoma" w:cs="Tahoma"/>
          <w:sz w:val="24"/>
          <w:szCs w:val="24"/>
        </w:rPr>
      </w:pPr>
      <w:r w:rsidRPr="009C6727">
        <w:rPr>
          <w:rFonts w:ascii="Tahoma" w:hAnsi="Tahoma" w:cs="Tahoma"/>
          <w:sz w:val="24"/>
          <w:szCs w:val="24"/>
        </w:rPr>
        <w:t>Our median (midpoint) Gender Pay Gap equates to 8.18%, a difference of £1.51 per hour in favour of males.  This is slightly higher than our target of 8.00% and a small increase on last year’s figure, which was 8.16%.  The median figure shows the pay rate of the ‘middle’ employee and is mainly affected by how men and women are spread across different roles and grades, rather than pay differences within the same job. </w:t>
      </w:r>
    </w:p>
    <w:p w14:paraId="00E2CAA4" w14:textId="77777777" w:rsidR="00AB7698" w:rsidRPr="009C6727" w:rsidRDefault="00AB7698" w:rsidP="00350AFD">
      <w:pPr>
        <w:spacing w:after="0" w:line="288" w:lineRule="auto"/>
        <w:jc w:val="both"/>
        <w:rPr>
          <w:rFonts w:ascii="Tahoma" w:hAnsi="Tahoma" w:cs="Tahoma"/>
          <w:sz w:val="24"/>
          <w:szCs w:val="24"/>
        </w:rPr>
      </w:pPr>
    </w:p>
    <w:p w14:paraId="538D2E2F" w14:textId="3F0146E6" w:rsidR="00AB7698" w:rsidRPr="009C6727" w:rsidRDefault="00AB7698" w:rsidP="00AB7698">
      <w:pPr>
        <w:spacing w:after="0" w:line="288" w:lineRule="auto"/>
        <w:jc w:val="both"/>
        <w:rPr>
          <w:rFonts w:ascii="Tahoma" w:hAnsi="Tahoma" w:cs="Tahoma"/>
          <w:sz w:val="24"/>
          <w:szCs w:val="24"/>
        </w:rPr>
      </w:pPr>
      <w:r w:rsidRPr="009C6727">
        <w:rPr>
          <w:rFonts w:ascii="Tahoma" w:hAnsi="Tahoma" w:cs="Tahoma"/>
          <w:sz w:val="24"/>
          <w:szCs w:val="24"/>
        </w:rPr>
        <w:t>Our analysis shows that the gender pay gap exists largely because our male and female colleagues are concentrated in different roles –</w:t>
      </w:r>
      <w:r w:rsidR="000F6479" w:rsidRPr="009C6727">
        <w:rPr>
          <w:rFonts w:ascii="Tahoma" w:hAnsi="Tahoma" w:cs="Tahoma"/>
          <w:sz w:val="24"/>
          <w:szCs w:val="24"/>
        </w:rPr>
        <w:t xml:space="preserve"> </w:t>
      </w:r>
      <w:r w:rsidRPr="009C6727">
        <w:rPr>
          <w:rFonts w:ascii="Tahoma" w:hAnsi="Tahoma" w:cs="Tahoma"/>
          <w:sz w:val="24"/>
          <w:szCs w:val="24"/>
        </w:rPr>
        <w:t>just over 40% of our colleagues work in our Assets and Property Care teams which are predominantly male and attract a salary above the median for CGA.   </w:t>
      </w:r>
    </w:p>
    <w:p w14:paraId="6A31AE05" w14:textId="77777777" w:rsidR="00AB7698" w:rsidRPr="009C6727" w:rsidRDefault="00AB7698" w:rsidP="00AB7698">
      <w:pPr>
        <w:spacing w:after="0" w:line="288" w:lineRule="auto"/>
        <w:jc w:val="both"/>
        <w:rPr>
          <w:rFonts w:ascii="Tahoma" w:hAnsi="Tahoma" w:cs="Tahoma"/>
          <w:sz w:val="24"/>
          <w:szCs w:val="24"/>
        </w:rPr>
      </w:pPr>
      <w:r w:rsidRPr="009C6727">
        <w:rPr>
          <w:rFonts w:ascii="Tahoma" w:hAnsi="Tahoma" w:cs="Tahoma"/>
          <w:sz w:val="24"/>
          <w:szCs w:val="24"/>
        </w:rPr>
        <w:t> </w:t>
      </w:r>
    </w:p>
    <w:p w14:paraId="0EEDD3B4" w14:textId="77777777" w:rsidR="00AB7698" w:rsidRPr="009C6727" w:rsidRDefault="00AB7698" w:rsidP="00AB7698">
      <w:pPr>
        <w:spacing w:after="0" w:line="288" w:lineRule="auto"/>
        <w:jc w:val="both"/>
        <w:rPr>
          <w:rFonts w:ascii="Tahoma" w:hAnsi="Tahoma" w:cs="Tahoma"/>
          <w:sz w:val="24"/>
          <w:szCs w:val="24"/>
        </w:rPr>
      </w:pPr>
      <w:r w:rsidRPr="009C6727">
        <w:rPr>
          <w:rFonts w:ascii="Tahoma" w:hAnsi="Tahoma" w:cs="Tahoma"/>
          <w:sz w:val="24"/>
          <w:szCs w:val="24"/>
        </w:rPr>
        <w:t>Community Gateway is committed to supporting women across the organisation to advance their careers.  Our mean Gender Pay Gap has moved 3.38 percentage points in favour of females since last year, indicating that there are more women in senior roles. 50% of our Senior Managers are female. </w:t>
      </w:r>
    </w:p>
    <w:p w14:paraId="1BDE989E" w14:textId="77777777" w:rsidR="00350AFD" w:rsidRPr="009C6727" w:rsidRDefault="00350AFD" w:rsidP="00350AFD">
      <w:pPr>
        <w:spacing w:after="0" w:line="288" w:lineRule="auto"/>
        <w:jc w:val="both"/>
        <w:rPr>
          <w:rFonts w:ascii="Tahoma" w:hAnsi="Tahoma" w:cs="Tahoma"/>
          <w:sz w:val="24"/>
          <w:szCs w:val="24"/>
        </w:rPr>
      </w:pPr>
    </w:p>
    <w:p w14:paraId="54D373C2" w14:textId="4F0CB557" w:rsidR="00DF5CA3" w:rsidRPr="009C6727" w:rsidRDefault="00DF5CA3" w:rsidP="00FD390F">
      <w:pPr>
        <w:spacing w:after="0" w:line="288" w:lineRule="auto"/>
        <w:jc w:val="both"/>
        <w:rPr>
          <w:rFonts w:ascii="Tahoma" w:eastAsia="Times New Roman" w:hAnsi="Tahoma" w:cs="Tahoma"/>
          <w:sz w:val="24"/>
          <w:szCs w:val="24"/>
        </w:rPr>
      </w:pPr>
    </w:p>
    <w:p w14:paraId="0CAB0E75" w14:textId="77777777" w:rsidR="00DF4B7F" w:rsidRPr="009C6727" w:rsidRDefault="00DF4B7F">
      <w:pPr>
        <w:rPr>
          <w:rFonts w:ascii="Tahoma" w:eastAsia="Times New Roman" w:hAnsi="Tahoma" w:cs="Tahoma"/>
          <w:b/>
          <w:bCs/>
          <w:color w:val="012169"/>
          <w:sz w:val="24"/>
          <w:szCs w:val="24"/>
        </w:rPr>
      </w:pPr>
      <w:r w:rsidRPr="009C6727">
        <w:rPr>
          <w:rFonts w:ascii="Tahoma" w:eastAsia="Times New Roman" w:hAnsi="Tahoma" w:cs="Tahoma"/>
          <w:b/>
          <w:bCs/>
          <w:color w:val="012169"/>
          <w:sz w:val="24"/>
          <w:szCs w:val="24"/>
        </w:rPr>
        <w:br w:type="page"/>
      </w:r>
    </w:p>
    <w:p w14:paraId="0E74205A" w14:textId="68291F85" w:rsidR="00DF5CA3" w:rsidRPr="009C6727" w:rsidRDefault="00DF5CA3" w:rsidP="00FD390F">
      <w:pPr>
        <w:spacing w:after="0" w:line="288" w:lineRule="auto"/>
        <w:jc w:val="both"/>
        <w:rPr>
          <w:rFonts w:ascii="Tahoma" w:eastAsia="Times New Roman" w:hAnsi="Tahoma" w:cs="Tahoma"/>
          <w:b/>
          <w:bCs/>
          <w:color w:val="012169"/>
          <w:sz w:val="24"/>
          <w:szCs w:val="24"/>
        </w:rPr>
      </w:pPr>
      <w:r w:rsidRPr="009C6727">
        <w:rPr>
          <w:rFonts w:ascii="Tahoma" w:eastAsia="Times New Roman" w:hAnsi="Tahoma" w:cs="Tahoma"/>
          <w:b/>
          <w:bCs/>
          <w:color w:val="012169"/>
          <w:sz w:val="24"/>
          <w:szCs w:val="24"/>
        </w:rPr>
        <w:lastRenderedPageBreak/>
        <w:t>Conclusions and actions</w:t>
      </w:r>
    </w:p>
    <w:p w14:paraId="06B5AE9C" w14:textId="77777777" w:rsidR="00DF5CA3" w:rsidRPr="009C6727" w:rsidRDefault="00DF5CA3" w:rsidP="00FD390F">
      <w:pPr>
        <w:tabs>
          <w:tab w:val="left" w:pos="720"/>
        </w:tabs>
        <w:spacing w:after="0" w:line="288" w:lineRule="auto"/>
        <w:rPr>
          <w:rFonts w:ascii="Tahoma" w:eastAsia="Times New Roman" w:hAnsi="Tahoma" w:cs="Tahoma"/>
          <w:b/>
          <w:bCs/>
          <w:sz w:val="24"/>
          <w:szCs w:val="24"/>
        </w:rPr>
      </w:pPr>
    </w:p>
    <w:p w14:paraId="05BBD109" w14:textId="3CB66882" w:rsidR="00222693" w:rsidRPr="009C6727" w:rsidRDefault="00D1707B" w:rsidP="00FD390F">
      <w:pPr>
        <w:tabs>
          <w:tab w:val="left" w:pos="720"/>
        </w:tabs>
        <w:spacing w:after="0" w:line="288" w:lineRule="auto"/>
        <w:rPr>
          <w:rFonts w:ascii="Tahoma" w:hAnsi="Tahoma" w:cs="Tahoma"/>
          <w:sz w:val="24"/>
          <w:szCs w:val="24"/>
        </w:rPr>
      </w:pPr>
      <w:r w:rsidRPr="009C6727">
        <w:rPr>
          <w:rFonts w:ascii="Tahoma" w:hAnsi="Tahoma" w:cs="Tahoma"/>
          <w:sz w:val="24"/>
          <w:szCs w:val="24"/>
        </w:rPr>
        <w:t xml:space="preserve">We are now entering the </w:t>
      </w:r>
      <w:r w:rsidR="00AB7698" w:rsidRPr="009C6727">
        <w:rPr>
          <w:rFonts w:ascii="Tahoma" w:hAnsi="Tahoma" w:cs="Tahoma"/>
          <w:sz w:val="24"/>
          <w:szCs w:val="24"/>
        </w:rPr>
        <w:t>third</w:t>
      </w:r>
      <w:r w:rsidRPr="009C6727">
        <w:rPr>
          <w:rFonts w:ascii="Tahoma" w:hAnsi="Tahoma" w:cs="Tahoma"/>
          <w:sz w:val="24"/>
          <w:szCs w:val="24"/>
        </w:rPr>
        <w:t xml:space="preserve"> year </w:t>
      </w:r>
      <w:r w:rsidR="00B46D3F" w:rsidRPr="009C6727">
        <w:rPr>
          <w:rFonts w:ascii="Tahoma" w:hAnsi="Tahoma" w:cs="Tahoma"/>
          <w:sz w:val="24"/>
          <w:szCs w:val="24"/>
        </w:rPr>
        <w:t xml:space="preserve">of our EDI </w:t>
      </w:r>
      <w:r w:rsidRPr="009C6727">
        <w:rPr>
          <w:rFonts w:ascii="Tahoma" w:hAnsi="Tahoma" w:cs="Tahoma"/>
          <w:sz w:val="24"/>
          <w:szCs w:val="24"/>
        </w:rPr>
        <w:t>Strategy,</w:t>
      </w:r>
      <w:r w:rsidR="00B46D3F" w:rsidRPr="009C6727">
        <w:rPr>
          <w:rFonts w:ascii="Tahoma" w:hAnsi="Tahoma" w:cs="Tahoma"/>
          <w:sz w:val="24"/>
          <w:szCs w:val="24"/>
        </w:rPr>
        <w:t xml:space="preserve"> and we will continue the work we are doing on ensuring our workforce is representative of our customers</w:t>
      </w:r>
      <w:r w:rsidR="00222693" w:rsidRPr="009C6727">
        <w:rPr>
          <w:rFonts w:ascii="Tahoma" w:hAnsi="Tahoma" w:cs="Tahoma"/>
          <w:sz w:val="24"/>
          <w:szCs w:val="24"/>
        </w:rPr>
        <w:t>:</w:t>
      </w:r>
    </w:p>
    <w:p w14:paraId="24F8FFE8" w14:textId="77777777" w:rsidR="00D1707B" w:rsidRPr="009C6727" w:rsidRDefault="00D1707B" w:rsidP="00FD390F">
      <w:pPr>
        <w:tabs>
          <w:tab w:val="left" w:pos="720"/>
        </w:tabs>
        <w:spacing w:after="0" w:line="288" w:lineRule="auto"/>
        <w:rPr>
          <w:rFonts w:ascii="Tahoma" w:hAnsi="Tahoma" w:cs="Tahoma"/>
          <w:sz w:val="24"/>
          <w:szCs w:val="24"/>
        </w:rPr>
      </w:pPr>
    </w:p>
    <w:p w14:paraId="6A46CF44" w14:textId="2C9D0B38" w:rsidR="00243297" w:rsidRPr="009C6727" w:rsidRDefault="00243297" w:rsidP="00243297">
      <w:pPr>
        <w:pStyle w:val="ListParagraph"/>
        <w:numPr>
          <w:ilvl w:val="0"/>
          <w:numId w:val="12"/>
        </w:numPr>
        <w:spacing w:after="0" w:line="288" w:lineRule="auto"/>
        <w:jc w:val="both"/>
        <w:rPr>
          <w:rFonts w:ascii="Tahoma" w:hAnsi="Tahoma" w:cs="Tahoma"/>
          <w:sz w:val="24"/>
          <w:szCs w:val="24"/>
        </w:rPr>
      </w:pPr>
      <w:r w:rsidRPr="009C6727">
        <w:rPr>
          <w:rFonts w:ascii="Tahoma" w:hAnsi="Tahoma" w:cs="Tahoma"/>
          <w:sz w:val="24"/>
          <w:szCs w:val="24"/>
        </w:rPr>
        <w:t xml:space="preserve">We will keep reviewing how we recruit and select people to make sure we attract </w:t>
      </w:r>
      <w:r w:rsidR="00827502" w:rsidRPr="009C6727">
        <w:rPr>
          <w:rFonts w:ascii="Tahoma" w:hAnsi="Tahoma" w:cs="Tahoma"/>
          <w:sz w:val="24"/>
          <w:szCs w:val="24"/>
        </w:rPr>
        <w:t>the widest possible</w:t>
      </w:r>
      <w:r w:rsidRPr="009C6727">
        <w:rPr>
          <w:rFonts w:ascii="Tahoma" w:hAnsi="Tahoma" w:cs="Tahoma"/>
          <w:sz w:val="24"/>
          <w:szCs w:val="24"/>
        </w:rPr>
        <w:t xml:space="preserve"> range of applicants and follow best practice.</w:t>
      </w:r>
    </w:p>
    <w:p w14:paraId="398A61BC" w14:textId="557DDA63" w:rsidR="00243297" w:rsidRPr="009C6727" w:rsidRDefault="00243297" w:rsidP="00243297">
      <w:pPr>
        <w:pStyle w:val="ListParagraph"/>
        <w:numPr>
          <w:ilvl w:val="0"/>
          <w:numId w:val="12"/>
        </w:numPr>
        <w:spacing w:after="0" w:line="288" w:lineRule="auto"/>
        <w:jc w:val="both"/>
        <w:rPr>
          <w:rFonts w:ascii="Tahoma" w:hAnsi="Tahoma" w:cs="Tahoma"/>
          <w:sz w:val="24"/>
          <w:szCs w:val="24"/>
        </w:rPr>
      </w:pPr>
      <w:r w:rsidRPr="009C6727">
        <w:rPr>
          <w:rFonts w:ascii="Tahoma" w:hAnsi="Tahoma" w:cs="Tahoma"/>
          <w:sz w:val="24"/>
          <w:szCs w:val="24"/>
        </w:rPr>
        <w:t>We will</w:t>
      </w:r>
      <w:r w:rsidR="005020AC" w:rsidRPr="009C6727">
        <w:rPr>
          <w:rFonts w:ascii="Tahoma" w:hAnsi="Tahoma" w:cs="Tahoma"/>
          <w:sz w:val="24"/>
          <w:szCs w:val="24"/>
        </w:rPr>
        <w:t xml:space="preserve"> continue to</w:t>
      </w:r>
      <w:r w:rsidRPr="009C6727">
        <w:rPr>
          <w:rFonts w:ascii="Tahoma" w:hAnsi="Tahoma" w:cs="Tahoma"/>
          <w:sz w:val="24"/>
          <w:szCs w:val="24"/>
        </w:rPr>
        <w:t xml:space="preserve"> try different ways of selecting candidates, </w:t>
      </w:r>
      <w:r w:rsidR="00827502" w:rsidRPr="009C6727">
        <w:rPr>
          <w:rFonts w:ascii="Tahoma" w:hAnsi="Tahoma" w:cs="Tahoma"/>
          <w:sz w:val="24"/>
          <w:szCs w:val="24"/>
        </w:rPr>
        <w:t>for example</w:t>
      </w:r>
      <w:r w:rsidR="005020AC" w:rsidRPr="009C6727">
        <w:rPr>
          <w:rFonts w:ascii="Tahoma" w:hAnsi="Tahoma" w:cs="Tahoma"/>
          <w:sz w:val="24"/>
          <w:szCs w:val="24"/>
        </w:rPr>
        <w:t xml:space="preserve"> using skills-based assessments in a wider range of </w:t>
      </w:r>
      <w:r w:rsidR="003A1149" w:rsidRPr="009C6727">
        <w:rPr>
          <w:rFonts w:ascii="Tahoma" w:hAnsi="Tahoma" w:cs="Tahoma"/>
          <w:sz w:val="24"/>
          <w:szCs w:val="24"/>
        </w:rPr>
        <w:t>roles or</w:t>
      </w:r>
      <w:r w:rsidRPr="009C6727">
        <w:rPr>
          <w:rFonts w:ascii="Tahoma" w:hAnsi="Tahoma" w:cs="Tahoma"/>
          <w:sz w:val="24"/>
          <w:szCs w:val="24"/>
        </w:rPr>
        <w:t xml:space="preserve"> sharing interview questions in advance to support neurodivergent applicant</w:t>
      </w:r>
      <w:r w:rsidR="001521EA" w:rsidRPr="009C6727">
        <w:rPr>
          <w:rFonts w:ascii="Tahoma" w:hAnsi="Tahoma" w:cs="Tahoma"/>
          <w:sz w:val="24"/>
          <w:szCs w:val="24"/>
        </w:rPr>
        <w:t>s.</w:t>
      </w:r>
      <w:r w:rsidRPr="009C6727">
        <w:rPr>
          <w:rFonts w:ascii="Tahoma" w:hAnsi="Tahoma" w:cs="Tahoma"/>
          <w:sz w:val="24"/>
          <w:szCs w:val="24"/>
        </w:rPr>
        <w:t xml:space="preserve"> </w:t>
      </w:r>
    </w:p>
    <w:p w14:paraId="0CD430B5" w14:textId="3F854E5F" w:rsidR="00243297" w:rsidRPr="009C6727" w:rsidRDefault="00243297" w:rsidP="00243297">
      <w:pPr>
        <w:pStyle w:val="ListParagraph"/>
        <w:numPr>
          <w:ilvl w:val="0"/>
          <w:numId w:val="12"/>
        </w:numPr>
        <w:spacing w:after="0" w:line="288" w:lineRule="auto"/>
        <w:jc w:val="both"/>
        <w:rPr>
          <w:rFonts w:ascii="Tahoma" w:hAnsi="Tahoma" w:cs="Tahoma"/>
          <w:sz w:val="24"/>
          <w:szCs w:val="24"/>
        </w:rPr>
      </w:pPr>
      <w:r w:rsidRPr="009C6727">
        <w:rPr>
          <w:rFonts w:ascii="Tahoma" w:hAnsi="Tahoma" w:cs="Tahoma"/>
          <w:sz w:val="24"/>
          <w:szCs w:val="24"/>
        </w:rPr>
        <w:t xml:space="preserve">We will </w:t>
      </w:r>
      <w:r w:rsidR="00A877E8" w:rsidRPr="009C6727">
        <w:rPr>
          <w:rFonts w:ascii="Tahoma" w:hAnsi="Tahoma" w:cs="Tahoma"/>
          <w:sz w:val="24"/>
          <w:szCs w:val="24"/>
        </w:rPr>
        <w:t>continue to</w:t>
      </w:r>
      <w:r w:rsidRPr="009C6727">
        <w:rPr>
          <w:rFonts w:ascii="Tahoma" w:hAnsi="Tahoma" w:cs="Tahoma"/>
          <w:sz w:val="24"/>
          <w:szCs w:val="24"/>
        </w:rPr>
        <w:t xml:space="preserve"> check </w:t>
      </w:r>
      <w:r w:rsidR="00A877E8" w:rsidRPr="009C6727">
        <w:rPr>
          <w:rFonts w:ascii="Tahoma" w:hAnsi="Tahoma" w:cs="Tahoma"/>
          <w:sz w:val="24"/>
          <w:szCs w:val="24"/>
        </w:rPr>
        <w:t xml:space="preserve">all </w:t>
      </w:r>
      <w:r w:rsidRPr="009C6727">
        <w:rPr>
          <w:rFonts w:ascii="Tahoma" w:hAnsi="Tahoma" w:cs="Tahoma"/>
          <w:sz w:val="24"/>
          <w:szCs w:val="24"/>
        </w:rPr>
        <w:t>our recruitment and selection processes to make sure they are fair and inclusive. The People Services team will attend interviews across the business, including all manager roles.</w:t>
      </w:r>
      <w:r w:rsidR="00E83C9C" w:rsidRPr="009C6727">
        <w:rPr>
          <w:rFonts w:ascii="Tahoma" w:hAnsi="Tahoma" w:cs="Tahoma"/>
          <w:sz w:val="24"/>
          <w:szCs w:val="24"/>
        </w:rPr>
        <w:t xml:space="preserve"> </w:t>
      </w:r>
    </w:p>
    <w:p w14:paraId="435D4733" w14:textId="77777777" w:rsidR="00243297" w:rsidRPr="009C6727" w:rsidRDefault="00243297" w:rsidP="00243297">
      <w:pPr>
        <w:pStyle w:val="ListParagraph"/>
        <w:numPr>
          <w:ilvl w:val="0"/>
          <w:numId w:val="12"/>
        </w:numPr>
        <w:spacing w:after="0" w:line="288" w:lineRule="auto"/>
        <w:jc w:val="both"/>
        <w:rPr>
          <w:rFonts w:ascii="Tahoma" w:hAnsi="Tahoma" w:cs="Tahoma"/>
          <w:sz w:val="24"/>
          <w:szCs w:val="24"/>
        </w:rPr>
      </w:pPr>
      <w:r w:rsidRPr="009C6727">
        <w:rPr>
          <w:rFonts w:ascii="Tahoma" w:hAnsi="Tahoma" w:cs="Tahoma"/>
          <w:sz w:val="24"/>
          <w:szCs w:val="24"/>
        </w:rPr>
        <w:t>We will update our ED&amp;I training for all employees in summer 2026 and continue helping colleagues build their understanding of diversity, inclusion, and their role in supporting it.</w:t>
      </w:r>
    </w:p>
    <w:p w14:paraId="656446BE" w14:textId="77777777" w:rsidR="00827502" w:rsidRPr="009C6727" w:rsidRDefault="00827502" w:rsidP="00243297">
      <w:pPr>
        <w:pStyle w:val="ListParagraph"/>
        <w:numPr>
          <w:ilvl w:val="0"/>
          <w:numId w:val="12"/>
        </w:numPr>
        <w:spacing w:after="0" w:line="288" w:lineRule="auto"/>
        <w:jc w:val="both"/>
        <w:rPr>
          <w:rFonts w:ascii="Tahoma" w:hAnsi="Tahoma" w:cs="Tahoma"/>
          <w:sz w:val="24"/>
          <w:szCs w:val="24"/>
        </w:rPr>
      </w:pPr>
      <w:r w:rsidRPr="009C6727">
        <w:rPr>
          <w:rFonts w:ascii="Tahoma" w:hAnsi="Tahoma" w:cs="Tahoma"/>
          <w:sz w:val="24"/>
          <w:szCs w:val="24"/>
        </w:rPr>
        <w:t>We will use our colleague demographic data to plan awareness events and activities that reflect and celebrate the diversity of our workforce.</w:t>
      </w:r>
    </w:p>
    <w:p w14:paraId="6C815940" w14:textId="3D54483E" w:rsidR="00243297" w:rsidRPr="009C6727" w:rsidRDefault="00243297" w:rsidP="00243297">
      <w:pPr>
        <w:pStyle w:val="ListParagraph"/>
        <w:numPr>
          <w:ilvl w:val="0"/>
          <w:numId w:val="12"/>
        </w:numPr>
        <w:spacing w:after="0" w:line="288" w:lineRule="auto"/>
        <w:jc w:val="both"/>
        <w:rPr>
          <w:rFonts w:ascii="Tahoma" w:hAnsi="Tahoma" w:cs="Tahoma"/>
          <w:sz w:val="24"/>
          <w:szCs w:val="24"/>
        </w:rPr>
      </w:pPr>
      <w:r w:rsidRPr="009C6727">
        <w:rPr>
          <w:rFonts w:ascii="Tahoma" w:hAnsi="Tahoma" w:cs="Tahoma"/>
          <w:sz w:val="24"/>
          <w:szCs w:val="24"/>
        </w:rPr>
        <w:t>We will keep reviewing data from</w:t>
      </w:r>
      <w:r w:rsidR="00A877E8" w:rsidRPr="009C6727">
        <w:rPr>
          <w:rFonts w:ascii="Tahoma" w:hAnsi="Tahoma" w:cs="Tahoma"/>
          <w:sz w:val="24"/>
          <w:szCs w:val="24"/>
        </w:rPr>
        <w:t xml:space="preserve"> job applicants</w:t>
      </w:r>
      <w:r w:rsidRPr="009C6727">
        <w:rPr>
          <w:rFonts w:ascii="Tahoma" w:hAnsi="Tahoma" w:cs="Tahoma"/>
          <w:sz w:val="24"/>
          <w:szCs w:val="24"/>
        </w:rPr>
        <w:t>, employees and leavers to spot any issues or areas we need to improve.</w:t>
      </w:r>
    </w:p>
    <w:p w14:paraId="0C091DB9" w14:textId="314E3A6B" w:rsidR="00764268" w:rsidRPr="009C6727" w:rsidRDefault="00243297" w:rsidP="00243297">
      <w:pPr>
        <w:pStyle w:val="ListParagraph"/>
        <w:numPr>
          <w:ilvl w:val="0"/>
          <w:numId w:val="12"/>
        </w:numPr>
        <w:spacing w:after="0" w:line="288" w:lineRule="auto"/>
        <w:jc w:val="both"/>
        <w:rPr>
          <w:rFonts w:ascii="Tahoma" w:hAnsi="Tahoma" w:cs="Tahoma"/>
          <w:sz w:val="24"/>
          <w:szCs w:val="24"/>
        </w:rPr>
      </w:pPr>
      <w:r w:rsidRPr="009C6727">
        <w:rPr>
          <w:rFonts w:ascii="Tahoma" w:hAnsi="Tahoma" w:cs="Tahoma"/>
          <w:sz w:val="24"/>
          <w:szCs w:val="24"/>
        </w:rPr>
        <w:t xml:space="preserve">We will continue to promote our values and behaviours and build a culture where colleagues feel confident to speak up and </w:t>
      </w:r>
      <w:r w:rsidR="00A877E8" w:rsidRPr="009C6727">
        <w:rPr>
          <w:rFonts w:ascii="Tahoma" w:hAnsi="Tahoma" w:cs="Tahoma"/>
          <w:sz w:val="24"/>
          <w:szCs w:val="24"/>
        </w:rPr>
        <w:t>make suggestions to improve how we do things</w:t>
      </w:r>
      <w:r w:rsidRPr="009C6727">
        <w:rPr>
          <w:rFonts w:ascii="Tahoma" w:hAnsi="Tahoma" w:cs="Tahoma"/>
          <w:sz w:val="24"/>
          <w:szCs w:val="24"/>
        </w:rPr>
        <w:t>.</w:t>
      </w:r>
    </w:p>
    <w:p w14:paraId="7BC8D7C7" w14:textId="77777777" w:rsidR="00A877E8" w:rsidRPr="009C6727" w:rsidRDefault="00A877E8" w:rsidP="00A877E8">
      <w:pPr>
        <w:pStyle w:val="ListParagraph"/>
        <w:spacing w:after="0" w:line="288" w:lineRule="auto"/>
        <w:jc w:val="both"/>
        <w:rPr>
          <w:rFonts w:ascii="Tahoma" w:hAnsi="Tahoma" w:cs="Tahoma"/>
          <w:sz w:val="24"/>
          <w:szCs w:val="24"/>
        </w:rPr>
      </w:pPr>
    </w:p>
    <w:p w14:paraId="3FCF0585" w14:textId="19564984" w:rsidR="00250888" w:rsidRPr="009C6727" w:rsidRDefault="00D1707B" w:rsidP="00FD390F">
      <w:pPr>
        <w:spacing w:after="0" w:line="288" w:lineRule="auto"/>
        <w:jc w:val="both"/>
        <w:rPr>
          <w:rFonts w:ascii="Tahoma" w:hAnsi="Tahoma" w:cs="Tahoma"/>
          <w:sz w:val="24"/>
          <w:szCs w:val="24"/>
        </w:rPr>
      </w:pPr>
      <w:r w:rsidRPr="009C6727">
        <w:rPr>
          <w:rFonts w:ascii="Tahoma" w:hAnsi="Tahoma" w:cs="Tahoma"/>
          <w:sz w:val="24"/>
          <w:szCs w:val="24"/>
        </w:rPr>
        <w:t>Kate Lewin</w:t>
      </w:r>
      <w:r w:rsidR="00764268" w:rsidRPr="009C6727">
        <w:rPr>
          <w:rFonts w:ascii="Tahoma" w:hAnsi="Tahoma" w:cs="Tahoma"/>
          <w:sz w:val="24"/>
          <w:szCs w:val="24"/>
        </w:rPr>
        <w:t xml:space="preserve"> - </w:t>
      </w:r>
      <w:r w:rsidR="00413C30" w:rsidRPr="009C6727">
        <w:rPr>
          <w:rFonts w:ascii="Tahoma" w:hAnsi="Tahoma" w:cs="Tahoma"/>
          <w:sz w:val="24"/>
          <w:szCs w:val="24"/>
        </w:rPr>
        <w:t xml:space="preserve">Senior </w:t>
      </w:r>
      <w:r w:rsidR="00250888" w:rsidRPr="009C6727">
        <w:rPr>
          <w:rFonts w:ascii="Tahoma" w:hAnsi="Tahoma" w:cs="Tahoma"/>
          <w:sz w:val="24"/>
          <w:szCs w:val="24"/>
        </w:rPr>
        <w:t xml:space="preserve">People </w:t>
      </w:r>
      <w:r w:rsidRPr="009C6727">
        <w:rPr>
          <w:rFonts w:ascii="Tahoma" w:hAnsi="Tahoma" w:cs="Tahoma"/>
          <w:sz w:val="24"/>
          <w:szCs w:val="24"/>
        </w:rPr>
        <w:t>Business Partner</w:t>
      </w:r>
    </w:p>
    <w:p w14:paraId="5EDD40A0" w14:textId="77777777" w:rsidR="000727DF" w:rsidRPr="009C6727" w:rsidRDefault="000727DF" w:rsidP="00FD390F">
      <w:pPr>
        <w:spacing w:after="0" w:line="288" w:lineRule="auto"/>
        <w:jc w:val="both"/>
        <w:rPr>
          <w:rFonts w:ascii="Tahoma" w:hAnsi="Tahoma" w:cs="Tahoma"/>
          <w:sz w:val="24"/>
          <w:szCs w:val="24"/>
        </w:rPr>
      </w:pPr>
    </w:p>
    <w:p w14:paraId="04ECA49C" w14:textId="77777777" w:rsidR="000727DF" w:rsidRPr="009C6727" w:rsidRDefault="000727DF" w:rsidP="00FD390F">
      <w:pPr>
        <w:spacing w:after="0" w:line="288" w:lineRule="auto"/>
        <w:jc w:val="both"/>
        <w:rPr>
          <w:rFonts w:ascii="Tahoma" w:hAnsi="Tahoma" w:cs="Tahoma"/>
          <w:sz w:val="24"/>
          <w:szCs w:val="24"/>
        </w:rPr>
      </w:pPr>
    </w:p>
    <w:p w14:paraId="424E3CBC" w14:textId="77777777" w:rsidR="000727DF" w:rsidRPr="009C6727" w:rsidRDefault="000727DF" w:rsidP="00FD390F">
      <w:pPr>
        <w:spacing w:after="0" w:line="288" w:lineRule="auto"/>
        <w:jc w:val="both"/>
        <w:rPr>
          <w:rFonts w:ascii="Tahoma" w:hAnsi="Tahoma" w:cs="Tahoma"/>
          <w:sz w:val="24"/>
          <w:szCs w:val="24"/>
        </w:rPr>
      </w:pPr>
    </w:p>
    <w:p w14:paraId="04139A0F" w14:textId="5A8EDE52" w:rsidR="00147795" w:rsidRPr="004E5980" w:rsidRDefault="000727DF" w:rsidP="00E44352">
      <w:pPr>
        <w:jc w:val="both"/>
        <w:rPr>
          <w:rFonts w:ascii="Tahoma" w:hAnsi="Tahoma" w:cs="Tahoma"/>
          <w:sz w:val="24"/>
          <w:szCs w:val="24"/>
        </w:rPr>
      </w:pPr>
      <w:r w:rsidRPr="009C6727">
        <w:rPr>
          <w:rFonts w:ascii="Tahoma" w:hAnsi="Tahoma" w:cs="Tahoma"/>
          <w:noProof/>
          <w:sz w:val="24"/>
          <w:szCs w:val="24"/>
        </w:rPr>
        <w:drawing>
          <wp:inline distT="0" distB="0" distL="0" distR="0" wp14:anchorId="5A3BE946" wp14:editId="3B3E0D53">
            <wp:extent cx="1781175" cy="860258"/>
            <wp:effectExtent l="0" t="0" r="0" b="0"/>
            <wp:docPr id="1035068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8879" cy="863979"/>
                    </a:xfrm>
                    <a:prstGeom prst="rect">
                      <a:avLst/>
                    </a:prstGeom>
                    <a:noFill/>
                  </pic:spPr>
                </pic:pic>
              </a:graphicData>
            </a:graphic>
          </wp:inline>
        </w:drawing>
      </w:r>
      <w:r w:rsidRPr="009C6727">
        <w:rPr>
          <w:rFonts w:ascii="Tahoma" w:hAnsi="Tahoma" w:cs="Tahoma"/>
          <w:noProof/>
          <w:sz w:val="24"/>
          <w:szCs w:val="24"/>
        </w:rPr>
        <w:t xml:space="preserve">   </w:t>
      </w:r>
      <w:r w:rsidRPr="009C6727">
        <w:rPr>
          <w:rFonts w:ascii="Tahoma" w:hAnsi="Tahoma" w:cs="Tahoma"/>
          <w:noProof/>
          <w:sz w:val="24"/>
          <w:szCs w:val="24"/>
        </w:rPr>
        <w:drawing>
          <wp:inline distT="0" distB="0" distL="0" distR="0" wp14:anchorId="7A3AB2D8" wp14:editId="1996A4A2">
            <wp:extent cx="2268220" cy="829310"/>
            <wp:effectExtent l="0" t="0" r="0" b="8890"/>
            <wp:docPr id="1992367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8220" cy="829310"/>
                    </a:xfrm>
                    <a:prstGeom prst="rect">
                      <a:avLst/>
                    </a:prstGeom>
                    <a:noFill/>
                  </pic:spPr>
                </pic:pic>
              </a:graphicData>
            </a:graphic>
          </wp:inline>
        </w:drawing>
      </w:r>
      <w:r w:rsidR="005803A2" w:rsidRPr="009C6727">
        <w:t xml:space="preserve"> </w:t>
      </w:r>
      <w:r w:rsidR="005803A2" w:rsidRPr="009C6727">
        <w:rPr>
          <w:noProof/>
        </w:rPr>
        <w:drawing>
          <wp:inline distT="0" distB="0" distL="0" distR="0" wp14:anchorId="64A96108" wp14:editId="3E9D8444">
            <wp:extent cx="2446516" cy="876300"/>
            <wp:effectExtent l="0" t="0" r="0" b="0"/>
            <wp:docPr id="180787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1739" b="14587"/>
                    <a:stretch>
                      <a:fillRect/>
                    </a:stretch>
                  </pic:blipFill>
                  <pic:spPr bwMode="auto">
                    <a:xfrm>
                      <a:off x="0" y="0"/>
                      <a:ext cx="2467203" cy="883710"/>
                    </a:xfrm>
                    <a:prstGeom prst="rect">
                      <a:avLst/>
                    </a:prstGeom>
                    <a:noFill/>
                    <a:ln>
                      <a:noFill/>
                    </a:ln>
                    <a:extLst>
                      <a:ext uri="{53640926-AAD7-44D8-BBD7-CCE9431645EC}">
                        <a14:shadowObscured xmlns:a14="http://schemas.microsoft.com/office/drawing/2010/main"/>
                      </a:ext>
                    </a:extLst>
                  </pic:spPr>
                </pic:pic>
              </a:graphicData>
            </a:graphic>
          </wp:inline>
        </w:drawing>
      </w:r>
    </w:p>
    <w:p w14:paraId="7F09E3A6" w14:textId="77777777" w:rsidR="00DD3E68" w:rsidRPr="00175C20" w:rsidRDefault="00DD3E68" w:rsidP="00E44352">
      <w:pPr>
        <w:jc w:val="both"/>
        <w:rPr>
          <w:rFonts w:ascii="Tahoma" w:hAnsi="Tahoma" w:cs="Tahoma"/>
        </w:rPr>
      </w:pPr>
    </w:p>
    <w:sectPr w:rsidR="00DD3E68" w:rsidRPr="00175C20" w:rsidSect="00764268">
      <w:headerReference w:type="default" r:id="rId15"/>
      <w:footerReference w:type="default" r:id="rId16"/>
      <w:footerReference w:type="first" r:id="rId17"/>
      <w:pgSz w:w="12240" w:h="15840"/>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C5DF" w14:textId="77777777" w:rsidR="00670AF4" w:rsidRPr="00640997" w:rsidRDefault="00670AF4" w:rsidP="00C96F7F">
      <w:pPr>
        <w:spacing w:after="0" w:line="240" w:lineRule="auto"/>
      </w:pPr>
      <w:r w:rsidRPr="00640997">
        <w:separator/>
      </w:r>
    </w:p>
  </w:endnote>
  <w:endnote w:type="continuationSeparator" w:id="0">
    <w:p w14:paraId="29BA4053" w14:textId="77777777" w:rsidR="00670AF4" w:rsidRPr="00640997" w:rsidRDefault="00670AF4" w:rsidP="00C96F7F">
      <w:pPr>
        <w:spacing w:after="0" w:line="240" w:lineRule="auto"/>
      </w:pPr>
      <w:r w:rsidRPr="006409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iol">
    <w:altName w:val="Calibri"/>
    <w:panose1 w:val="02000506040000020003"/>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825092"/>
      <w:docPartObj>
        <w:docPartGallery w:val="Page Numbers (Top of Page)"/>
        <w:docPartUnique/>
      </w:docPartObj>
    </w:sdtPr>
    <w:sdtEndPr/>
    <w:sdtContent>
      <w:p w14:paraId="22C41797" w14:textId="021A7C65" w:rsidR="000727DF" w:rsidRDefault="009E2405" w:rsidP="009E2405">
        <w:pPr>
          <w:pStyle w:val="Footer"/>
          <w:jc w:val="right"/>
        </w:pPr>
        <w:r w:rsidRPr="009E2405">
          <w:rPr>
            <w:rFonts w:ascii="Tahoma" w:hAnsi="Tahoma" w:cs="Tahoma"/>
          </w:rPr>
          <w:t xml:space="preserve">Page </w:t>
        </w:r>
        <w:r w:rsidRPr="009E2405">
          <w:rPr>
            <w:rFonts w:ascii="Tahoma" w:hAnsi="Tahoma" w:cs="Tahoma"/>
            <w:b/>
            <w:bCs/>
            <w:sz w:val="24"/>
            <w:szCs w:val="24"/>
          </w:rPr>
          <w:fldChar w:fldCharType="begin"/>
        </w:r>
        <w:r w:rsidRPr="009E2405">
          <w:rPr>
            <w:rFonts w:ascii="Tahoma" w:hAnsi="Tahoma" w:cs="Tahoma"/>
            <w:b/>
            <w:bCs/>
          </w:rPr>
          <w:instrText xml:space="preserve"> PAGE </w:instrText>
        </w:r>
        <w:r w:rsidRPr="009E2405">
          <w:rPr>
            <w:rFonts w:ascii="Tahoma" w:hAnsi="Tahoma" w:cs="Tahoma"/>
            <w:b/>
            <w:bCs/>
            <w:sz w:val="24"/>
            <w:szCs w:val="24"/>
          </w:rPr>
          <w:fldChar w:fldCharType="separate"/>
        </w:r>
        <w:r>
          <w:rPr>
            <w:rFonts w:ascii="Tahoma" w:hAnsi="Tahoma" w:cs="Tahoma"/>
            <w:b/>
            <w:bCs/>
            <w:sz w:val="24"/>
            <w:szCs w:val="24"/>
          </w:rPr>
          <w:t>1</w:t>
        </w:r>
        <w:r w:rsidRPr="009E2405">
          <w:rPr>
            <w:rFonts w:ascii="Tahoma" w:hAnsi="Tahoma" w:cs="Tahoma"/>
            <w:b/>
            <w:bCs/>
            <w:sz w:val="24"/>
            <w:szCs w:val="24"/>
          </w:rPr>
          <w:fldChar w:fldCharType="end"/>
        </w:r>
        <w:r w:rsidRPr="009E2405">
          <w:rPr>
            <w:rFonts w:ascii="Tahoma" w:hAnsi="Tahoma" w:cs="Tahoma"/>
          </w:rPr>
          <w:t xml:space="preserve"> of </w:t>
        </w:r>
        <w:r w:rsidRPr="009E2405">
          <w:rPr>
            <w:rFonts w:ascii="Tahoma" w:hAnsi="Tahoma" w:cs="Tahoma"/>
            <w:b/>
            <w:bCs/>
            <w:sz w:val="24"/>
            <w:szCs w:val="24"/>
          </w:rPr>
          <w:fldChar w:fldCharType="begin"/>
        </w:r>
        <w:r w:rsidRPr="009E2405">
          <w:rPr>
            <w:rFonts w:ascii="Tahoma" w:hAnsi="Tahoma" w:cs="Tahoma"/>
            <w:b/>
            <w:bCs/>
          </w:rPr>
          <w:instrText xml:space="preserve"> NUMPAGES  </w:instrText>
        </w:r>
        <w:r w:rsidRPr="009E2405">
          <w:rPr>
            <w:rFonts w:ascii="Tahoma" w:hAnsi="Tahoma" w:cs="Tahoma"/>
            <w:b/>
            <w:bCs/>
            <w:sz w:val="24"/>
            <w:szCs w:val="24"/>
          </w:rPr>
          <w:fldChar w:fldCharType="separate"/>
        </w:r>
        <w:r>
          <w:rPr>
            <w:rFonts w:ascii="Tahoma" w:hAnsi="Tahoma" w:cs="Tahoma"/>
            <w:b/>
            <w:bCs/>
            <w:sz w:val="24"/>
            <w:szCs w:val="24"/>
          </w:rPr>
          <w:t>6</w:t>
        </w:r>
        <w:r w:rsidRPr="009E2405">
          <w:rPr>
            <w:rFonts w:ascii="Tahoma" w:hAnsi="Tahoma" w:cs="Tahoma"/>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116826"/>
      <w:docPartObj>
        <w:docPartGallery w:val="Page Numbers (Bottom of Page)"/>
        <w:docPartUnique/>
      </w:docPartObj>
    </w:sdtPr>
    <w:sdtEndPr/>
    <w:sdtContent>
      <w:sdt>
        <w:sdtPr>
          <w:id w:val="-1769616900"/>
          <w:docPartObj>
            <w:docPartGallery w:val="Page Numbers (Top of Page)"/>
            <w:docPartUnique/>
          </w:docPartObj>
        </w:sdtPr>
        <w:sdtEndPr/>
        <w:sdtContent>
          <w:p w14:paraId="46C42FBE" w14:textId="5BCD3D9F" w:rsidR="009E2405" w:rsidRDefault="009E2405" w:rsidP="009E2405">
            <w:pPr>
              <w:pStyle w:val="Footer"/>
              <w:jc w:val="right"/>
            </w:pPr>
            <w:r w:rsidRPr="009E2405">
              <w:rPr>
                <w:rFonts w:ascii="Tahoma" w:hAnsi="Tahoma" w:cs="Tahoma"/>
              </w:rPr>
              <w:t xml:space="preserve">Page </w:t>
            </w:r>
            <w:r w:rsidRPr="009E2405">
              <w:rPr>
                <w:rFonts w:ascii="Tahoma" w:hAnsi="Tahoma" w:cs="Tahoma"/>
                <w:b/>
                <w:bCs/>
                <w:sz w:val="24"/>
                <w:szCs w:val="24"/>
              </w:rPr>
              <w:fldChar w:fldCharType="begin"/>
            </w:r>
            <w:r w:rsidRPr="009E2405">
              <w:rPr>
                <w:rFonts w:ascii="Tahoma" w:hAnsi="Tahoma" w:cs="Tahoma"/>
                <w:b/>
                <w:bCs/>
              </w:rPr>
              <w:instrText xml:space="preserve"> PAGE </w:instrText>
            </w:r>
            <w:r w:rsidRPr="009E2405">
              <w:rPr>
                <w:rFonts w:ascii="Tahoma" w:hAnsi="Tahoma" w:cs="Tahoma"/>
                <w:b/>
                <w:bCs/>
                <w:sz w:val="24"/>
                <w:szCs w:val="24"/>
              </w:rPr>
              <w:fldChar w:fldCharType="separate"/>
            </w:r>
            <w:r w:rsidRPr="009E2405">
              <w:rPr>
                <w:rFonts w:ascii="Tahoma" w:hAnsi="Tahoma" w:cs="Tahoma"/>
                <w:b/>
                <w:bCs/>
                <w:noProof/>
              </w:rPr>
              <w:t>2</w:t>
            </w:r>
            <w:r w:rsidRPr="009E2405">
              <w:rPr>
                <w:rFonts w:ascii="Tahoma" w:hAnsi="Tahoma" w:cs="Tahoma"/>
                <w:b/>
                <w:bCs/>
                <w:sz w:val="24"/>
                <w:szCs w:val="24"/>
              </w:rPr>
              <w:fldChar w:fldCharType="end"/>
            </w:r>
            <w:r w:rsidRPr="009E2405">
              <w:rPr>
                <w:rFonts w:ascii="Tahoma" w:hAnsi="Tahoma" w:cs="Tahoma"/>
              </w:rPr>
              <w:t xml:space="preserve"> of </w:t>
            </w:r>
            <w:r w:rsidRPr="009E2405">
              <w:rPr>
                <w:rFonts w:ascii="Tahoma" w:hAnsi="Tahoma" w:cs="Tahoma"/>
                <w:b/>
                <w:bCs/>
                <w:sz w:val="24"/>
                <w:szCs w:val="24"/>
              </w:rPr>
              <w:fldChar w:fldCharType="begin"/>
            </w:r>
            <w:r w:rsidRPr="009E2405">
              <w:rPr>
                <w:rFonts w:ascii="Tahoma" w:hAnsi="Tahoma" w:cs="Tahoma"/>
                <w:b/>
                <w:bCs/>
              </w:rPr>
              <w:instrText xml:space="preserve"> NUMPAGES  </w:instrText>
            </w:r>
            <w:r w:rsidRPr="009E2405">
              <w:rPr>
                <w:rFonts w:ascii="Tahoma" w:hAnsi="Tahoma" w:cs="Tahoma"/>
                <w:b/>
                <w:bCs/>
                <w:sz w:val="24"/>
                <w:szCs w:val="24"/>
              </w:rPr>
              <w:fldChar w:fldCharType="separate"/>
            </w:r>
            <w:r w:rsidRPr="009E2405">
              <w:rPr>
                <w:rFonts w:ascii="Tahoma" w:hAnsi="Tahoma" w:cs="Tahoma"/>
                <w:b/>
                <w:bCs/>
                <w:noProof/>
              </w:rPr>
              <w:t>2</w:t>
            </w:r>
            <w:r w:rsidRPr="009E2405">
              <w:rPr>
                <w:rFonts w:ascii="Tahoma" w:hAnsi="Tahoma" w:cs="Tahom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8CEBE" w14:textId="77777777" w:rsidR="00670AF4" w:rsidRPr="00640997" w:rsidRDefault="00670AF4" w:rsidP="00C96F7F">
      <w:pPr>
        <w:spacing w:after="0" w:line="240" w:lineRule="auto"/>
      </w:pPr>
      <w:r w:rsidRPr="00640997">
        <w:separator/>
      </w:r>
    </w:p>
  </w:footnote>
  <w:footnote w:type="continuationSeparator" w:id="0">
    <w:p w14:paraId="473C2B57" w14:textId="77777777" w:rsidR="00670AF4" w:rsidRPr="00640997" w:rsidRDefault="00670AF4" w:rsidP="00C96F7F">
      <w:pPr>
        <w:spacing w:after="0" w:line="240" w:lineRule="auto"/>
      </w:pPr>
      <w:r w:rsidRPr="006409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D6B1" w14:textId="264674C1" w:rsidR="00C96F7F" w:rsidRPr="00640997" w:rsidRDefault="00EE5344" w:rsidP="00663138">
    <w:pPr>
      <w:pStyle w:val="Header"/>
      <w:jc w:val="right"/>
    </w:pPr>
    <w:r w:rsidRPr="0064099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0C60"/>
    <w:multiLevelType w:val="hybridMultilevel"/>
    <w:tmpl w:val="1E5AB1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031B"/>
    <w:multiLevelType w:val="multilevel"/>
    <w:tmpl w:val="9FC2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51D9C"/>
    <w:multiLevelType w:val="hybridMultilevel"/>
    <w:tmpl w:val="27428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D57408"/>
    <w:multiLevelType w:val="hybridMultilevel"/>
    <w:tmpl w:val="2CB6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E37473"/>
    <w:multiLevelType w:val="hybridMultilevel"/>
    <w:tmpl w:val="5FEA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70B5E"/>
    <w:multiLevelType w:val="hybridMultilevel"/>
    <w:tmpl w:val="2CAC0696"/>
    <w:lvl w:ilvl="0" w:tplc="A3A44BD8">
      <w:start w:val="23"/>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62B2C"/>
    <w:multiLevelType w:val="multilevel"/>
    <w:tmpl w:val="6A68719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601754"/>
    <w:multiLevelType w:val="hybridMultilevel"/>
    <w:tmpl w:val="4EEE7184"/>
    <w:lvl w:ilvl="0" w:tplc="C26E7050">
      <w:start w:val="20"/>
      <w:numFmt w:val="bullet"/>
      <w:lvlText w:val="-"/>
      <w:lvlJc w:val="left"/>
      <w:pPr>
        <w:ind w:left="720" w:hanging="360"/>
      </w:pPr>
      <w:rPr>
        <w:rFonts w:ascii="Calibri" w:eastAsiaTheme="minorHAnsi"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30B2C"/>
    <w:multiLevelType w:val="hybridMultilevel"/>
    <w:tmpl w:val="A374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D75EC"/>
    <w:multiLevelType w:val="hybridMultilevel"/>
    <w:tmpl w:val="1E1C5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F11DE4"/>
    <w:multiLevelType w:val="hybridMultilevel"/>
    <w:tmpl w:val="DE1A0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FB1099"/>
    <w:multiLevelType w:val="hybridMultilevel"/>
    <w:tmpl w:val="ACAA6DB6"/>
    <w:lvl w:ilvl="0" w:tplc="71288DF0">
      <w:start w:val="23"/>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218663">
    <w:abstractNumId w:val="1"/>
  </w:num>
  <w:num w:numId="2" w16cid:durableId="425347863">
    <w:abstractNumId w:val="8"/>
  </w:num>
  <w:num w:numId="3" w16cid:durableId="902062565">
    <w:abstractNumId w:val="0"/>
  </w:num>
  <w:num w:numId="4" w16cid:durableId="1908805422">
    <w:abstractNumId w:val="9"/>
  </w:num>
  <w:num w:numId="5" w16cid:durableId="1275166714">
    <w:abstractNumId w:val="7"/>
  </w:num>
  <w:num w:numId="6" w16cid:durableId="1597593910">
    <w:abstractNumId w:val="3"/>
  </w:num>
  <w:num w:numId="7" w16cid:durableId="423839498">
    <w:abstractNumId w:val="6"/>
  </w:num>
  <w:num w:numId="8" w16cid:durableId="1957322115">
    <w:abstractNumId w:val="11"/>
  </w:num>
  <w:num w:numId="9" w16cid:durableId="1212958426">
    <w:abstractNumId w:val="5"/>
  </w:num>
  <w:num w:numId="10" w16cid:durableId="480344504">
    <w:abstractNumId w:val="10"/>
  </w:num>
  <w:num w:numId="11" w16cid:durableId="1930575973">
    <w:abstractNumId w:val="2"/>
  </w:num>
  <w:num w:numId="12" w16cid:durableId="1250776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7F"/>
    <w:rsid w:val="0000064B"/>
    <w:rsid w:val="00002DCB"/>
    <w:rsid w:val="000148F4"/>
    <w:rsid w:val="00015831"/>
    <w:rsid w:val="0002088D"/>
    <w:rsid w:val="00021169"/>
    <w:rsid w:val="00031351"/>
    <w:rsid w:val="00031FA0"/>
    <w:rsid w:val="000326D0"/>
    <w:rsid w:val="00033209"/>
    <w:rsid w:val="00036464"/>
    <w:rsid w:val="00036F9C"/>
    <w:rsid w:val="000427A6"/>
    <w:rsid w:val="00044A6C"/>
    <w:rsid w:val="000509DA"/>
    <w:rsid w:val="000534D8"/>
    <w:rsid w:val="00066D5A"/>
    <w:rsid w:val="0006703F"/>
    <w:rsid w:val="000671C9"/>
    <w:rsid w:val="000727DF"/>
    <w:rsid w:val="00085B92"/>
    <w:rsid w:val="00085C75"/>
    <w:rsid w:val="000940EA"/>
    <w:rsid w:val="000A6296"/>
    <w:rsid w:val="000B31DD"/>
    <w:rsid w:val="000B5410"/>
    <w:rsid w:val="000C4435"/>
    <w:rsid w:val="000C4FF2"/>
    <w:rsid w:val="000D0141"/>
    <w:rsid w:val="000E1F77"/>
    <w:rsid w:val="000E567E"/>
    <w:rsid w:val="000F0D79"/>
    <w:rsid w:val="000F6479"/>
    <w:rsid w:val="00102C6C"/>
    <w:rsid w:val="00104252"/>
    <w:rsid w:val="00104E92"/>
    <w:rsid w:val="001201AB"/>
    <w:rsid w:val="001231F5"/>
    <w:rsid w:val="00134751"/>
    <w:rsid w:val="00134EF9"/>
    <w:rsid w:val="00145557"/>
    <w:rsid w:val="00147795"/>
    <w:rsid w:val="00151898"/>
    <w:rsid w:val="001521EA"/>
    <w:rsid w:val="001530FD"/>
    <w:rsid w:val="00153539"/>
    <w:rsid w:val="00154248"/>
    <w:rsid w:val="00163A2E"/>
    <w:rsid w:val="00171B0C"/>
    <w:rsid w:val="00175C20"/>
    <w:rsid w:val="0017774D"/>
    <w:rsid w:val="001830AB"/>
    <w:rsid w:val="00184444"/>
    <w:rsid w:val="001879B1"/>
    <w:rsid w:val="00192348"/>
    <w:rsid w:val="001939B8"/>
    <w:rsid w:val="00193F29"/>
    <w:rsid w:val="00194820"/>
    <w:rsid w:val="001A1FC3"/>
    <w:rsid w:val="001B78F7"/>
    <w:rsid w:val="001B7C42"/>
    <w:rsid w:val="001D11B3"/>
    <w:rsid w:val="001E23FA"/>
    <w:rsid w:val="001F0082"/>
    <w:rsid w:val="001F3FC3"/>
    <w:rsid w:val="002044A1"/>
    <w:rsid w:val="00211597"/>
    <w:rsid w:val="002146C9"/>
    <w:rsid w:val="00222693"/>
    <w:rsid w:val="00240C2A"/>
    <w:rsid w:val="00243297"/>
    <w:rsid w:val="00247D33"/>
    <w:rsid w:val="00250888"/>
    <w:rsid w:val="00255DD2"/>
    <w:rsid w:val="002615B8"/>
    <w:rsid w:val="0026305C"/>
    <w:rsid w:val="002704F9"/>
    <w:rsid w:val="00270E38"/>
    <w:rsid w:val="0027583D"/>
    <w:rsid w:val="00277420"/>
    <w:rsid w:val="00283F8E"/>
    <w:rsid w:val="00284796"/>
    <w:rsid w:val="00294BF5"/>
    <w:rsid w:val="002A0AA8"/>
    <w:rsid w:val="002A7429"/>
    <w:rsid w:val="002B553D"/>
    <w:rsid w:val="002D2694"/>
    <w:rsid w:val="002D57C8"/>
    <w:rsid w:val="002E605C"/>
    <w:rsid w:val="002F524B"/>
    <w:rsid w:val="003022E9"/>
    <w:rsid w:val="0030369C"/>
    <w:rsid w:val="003077FD"/>
    <w:rsid w:val="00311F05"/>
    <w:rsid w:val="003128AB"/>
    <w:rsid w:val="003141D5"/>
    <w:rsid w:val="0031557A"/>
    <w:rsid w:val="00326AD9"/>
    <w:rsid w:val="0032795A"/>
    <w:rsid w:val="003325A0"/>
    <w:rsid w:val="00340B2B"/>
    <w:rsid w:val="003434DA"/>
    <w:rsid w:val="003504A6"/>
    <w:rsid w:val="00350AFD"/>
    <w:rsid w:val="00356625"/>
    <w:rsid w:val="003609E1"/>
    <w:rsid w:val="00364B85"/>
    <w:rsid w:val="0037079E"/>
    <w:rsid w:val="00377E81"/>
    <w:rsid w:val="00382D99"/>
    <w:rsid w:val="00387831"/>
    <w:rsid w:val="00396E0D"/>
    <w:rsid w:val="003A1149"/>
    <w:rsid w:val="003A2495"/>
    <w:rsid w:val="003A6E40"/>
    <w:rsid w:val="003C070A"/>
    <w:rsid w:val="003C738D"/>
    <w:rsid w:val="003D755A"/>
    <w:rsid w:val="003E028A"/>
    <w:rsid w:val="003F046A"/>
    <w:rsid w:val="003F341F"/>
    <w:rsid w:val="00402EE7"/>
    <w:rsid w:val="00404A67"/>
    <w:rsid w:val="00406907"/>
    <w:rsid w:val="00413C30"/>
    <w:rsid w:val="004161B7"/>
    <w:rsid w:val="00421FBA"/>
    <w:rsid w:val="0042618C"/>
    <w:rsid w:val="00441E59"/>
    <w:rsid w:val="0044596E"/>
    <w:rsid w:val="004463F9"/>
    <w:rsid w:val="00453553"/>
    <w:rsid w:val="0045659E"/>
    <w:rsid w:val="00460C05"/>
    <w:rsid w:val="004765F5"/>
    <w:rsid w:val="0048006C"/>
    <w:rsid w:val="00480545"/>
    <w:rsid w:val="00484534"/>
    <w:rsid w:val="004851F2"/>
    <w:rsid w:val="0049298D"/>
    <w:rsid w:val="00493964"/>
    <w:rsid w:val="004954CD"/>
    <w:rsid w:val="004A2C0C"/>
    <w:rsid w:val="004A3C18"/>
    <w:rsid w:val="004A7002"/>
    <w:rsid w:val="004D348C"/>
    <w:rsid w:val="004D39A5"/>
    <w:rsid w:val="004E2E5E"/>
    <w:rsid w:val="004E5122"/>
    <w:rsid w:val="004E5980"/>
    <w:rsid w:val="004F47FB"/>
    <w:rsid w:val="004F5A81"/>
    <w:rsid w:val="005020AC"/>
    <w:rsid w:val="00502F13"/>
    <w:rsid w:val="005149BD"/>
    <w:rsid w:val="005226B1"/>
    <w:rsid w:val="00523FF4"/>
    <w:rsid w:val="005322CC"/>
    <w:rsid w:val="00536AFF"/>
    <w:rsid w:val="0054739D"/>
    <w:rsid w:val="00560FEB"/>
    <w:rsid w:val="00572865"/>
    <w:rsid w:val="0057689E"/>
    <w:rsid w:val="00577826"/>
    <w:rsid w:val="005803A2"/>
    <w:rsid w:val="0058127E"/>
    <w:rsid w:val="00592230"/>
    <w:rsid w:val="005938CA"/>
    <w:rsid w:val="00594B87"/>
    <w:rsid w:val="00597F98"/>
    <w:rsid w:val="005A17DD"/>
    <w:rsid w:val="005A4CEC"/>
    <w:rsid w:val="005B7A70"/>
    <w:rsid w:val="005C2C86"/>
    <w:rsid w:val="005C2E06"/>
    <w:rsid w:val="005D6947"/>
    <w:rsid w:val="005E46F7"/>
    <w:rsid w:val="006019C4"/>
    <w:rsid w:val="00617CA4"/>
    <w:rsid w:val="00623E5B"/>
    <w:rsid w:val="006245D5"/>
    <w:rsid w:val="00634FA8"/>
    <w:rsid w:val="00640997"/>
    <w:rsid w:val="00642714"/>
    <w:rsid w:val="00651136"/>
    <w:rsid w:val="00663138"/>
    <w:rsid w:val="0067048E"/>
    <w:rsid w:val="00670AF4"/>
    <w:rsid w:val="006745EE"/>
    <w:rsid w:val="00680287"/>
    <w:rsid w:val="00682F71"/>
    <w:rsid w:val="006A0EAB"/>
    <w:rsid w:val="006A6C72"/>
    <w:rsid w:val="006A7415"/>
    <w:rsid w:val="006B11AE"/>
    <w:rsid w:val="006B476F"/>
    <w:rsid w:val="006B76B5"/>
    <w:rsid w:val="006C11FD"/>
    <w:rsid w:val="006C3133"/>
    <w:rsid w:val="006C6D96"/>
    <w:rsid w:val="006D10BA"/>
    <w:rsid w:val="006D64A4"/>
    <w:rsid w:val="006E0213"/>
    <w:rsid w:val="006E03DE"/>
    <w:rsid w:val="006E0764"/>
    <w:rsid w:val="006E706E"/>
    <w:rsid w:val="006F314C"/>
    <w:rsid w:val="006F4EE5"/>
    <w:rsid w:val="007003C7"/>
    <w:rsid w:val="00702765"/>
    <w:rsid w:val="00704003"/>
    <w:rsid w:val="007062E4"/>
    <w:rsid w:val="007155BC"/>
    <w:rsid w:val="0071631C"/>
    <w:rsid w:val="00727ADD"/>
    <w:rsid w:val="007320A0"/>
    <w:rsid w:val="00735E36"/>
    <w:rsid w:val="007372D9"/>
    <w:rsid w:val="00737D99"/>
    <w:rsid w:val="0074082F"/>
    <w:rsid w:val="00740D92"/>
    <w:rsid w:val="00751ED1"/>
    <w:rsid w:val="00754FA3"/>
    <w:rsid w:val="0076036D"/>
    <w:rsid w:val="00764268"/>
    <w:rsid w:val="0076659F"/>
    <w:rsid w:val="0077311E"/>
    <w:rsid w:val="00774840"/>
    <w:rsid w:val="00777763"/>
    <w:rsid w:val="00782A31"/>
    <w:rsid w:val="00783E35"/>
    <w:rsid w:val="0079179A"/>
    <w:rsid w:val="007A6D4E"/>
    <w:rsid w:val="007B18B9"/>
    <w:rsid w:val="007C45BB"/>
    <w:rsid w:val="007C70E9"/>
    <w:rsid w:val="007D0637"/>
    <w:rsid w:val="007D0BFD"/>
    <w:rsid w:val="007D309E"/>
    <w:rsid w:val="007F55E1"/>
    <w:rsid w:val="00803F7C"/>
    <w:rsid w:val="008055C5"/>
    <w:rsid w:val="00805E4C"/>
    <w:rsid w:val="00806178"/>
    <w:rsid w:val="00813362"/>
    <w:rsid w:val="008170CA"/>
    <w:rsid w:val="00827502"/>
    <w:rsid w:val="00830431"/>
    <w:rsid w:val="0083082A"/>
    <w:rsid w:val="008357A3"/>
    <w:rsid w:val="00846FE7"/>
    <w:rsid w:val="0085017C"/>
    <w:rsid w:val="0085247F"/>
    <w:rsid w:val="00863327"/>
    <w:rsid w:val="00877DD7"/>
    <w:rsid w:val="00881A0C"/>
    <w:rsid w:val="0088237B"/>
    <w:rsid w:val="00882A7C"/>
    <w:rsid w:val="0088783F"/>
    <w:rsid w:val="00897662"/>
    <w:rsid w:val="008A40B1"/>
    <w:rsid w:val="008B72E0"/>
    <w:rsid w:val="008C5500"/>
    <w:rsid w:val="008C6B0B"/>
    <w:rsid w:val="008D4082"/>
    <w:rsid w:val="008D4C21"/>
    <w:rsid w:val="008E1F2B"/>
    <w:rsid w:val="008E314C"/>
    <w:rsid w:val="008E3E7B"/>
    <w:rsid w:val="008E645E"/>
    <w:rsid w:val="008F6D1A"/>
    <w:rsid w:val="00901968"/>
    <w:rsid w:val="00907A29"/>
    <w:rsid w:val="00910124"/>
    <w:rsid w:val="009127FE"/>
    <w:rsid w:val="00913282"/>
    <w:rsid w:val="00913779"/>
    <w:rsid w:val="00934F3C"/>
    <w:rsid w:val="00941685"/>
    <w:rsid w:val="00943554"/>
    <w:rsid w:val="00944394"/>
    <w:rsid w:val="009524DB"/>
    <w:rsid w:val="00956CF3"/>
    <w:rsid w:val="0096391C"/>
    <w:rsid w:val="00965EF4"/>
    <w:rsid w:val="00977B91"/>
    <w:rsid w:val="0098267B"/>
    <w:rsid w:val="00987D69"/>
    <w:rsid w:val="009903CD"/>
    <w:rsid w:val="0099155E"/>
    <w:rsid w:val="009A15EA"/>
    <w:rsid w:val="009A34CF"/>
    <w:rsid w:val="009A6AB0"/>
    <w:rsid w:val="009A6AB6"/>
    <w:rsid w:val="009B0060"/>
    <w:rsid w:val="009B12DE"/>
    <w:rsid w:val="009C27BE"/>
    <w:rsid w:val="009C66B2"/>
    <w:rsid w:val="009C6727"/>
    <w:rsid w:val="009C7145"/>
    <w:rsid w:val="009D0A1B"/>
    <w:rsid w:val="009D4A46"/>
    <w:rsid w:val="009D6F99"/>
    <w:rsid w:val="009D7FD0"/>
    <w:rsid w:val="009E2405"/>
    <w:rsid w:val="009E31FD"/>
    <w:rsid w:val="009E4D9C"/>
    <w:rsid w:val="009E5BDB"/>
    <w:rsid w:val="009E6D29"/>
    <w:rsid w:val="009F0907"/>
    <w:rsid w:val="009F19FE"/>
    <w:rsid w:val="00A13C79"/>
    <w:rsid w:val="00A16402"/>
    <w:rsid w:val="00A2036B"/>
    <w:rsid w:val="00A22E88"/>
    <w:rsid w:val="00A274AF"/>
    <w:rsid w:val="00A30BB1"/>
    <w:rsid w:val="00A31D99"/>
    <w:rsid w:val="00A406FC"/>
    <w:rsid w:val="00A54C6F"/>
    <w:rsid w:val="00A70FED"/>
    <w:rsid w:val="00A75E24"/>
    <w:rsid w:val="00A83094"/>
    <w:rsid w:val="00A844A3"/>
    <w:rsid w:val="00A86084"/>
    <w:rsid w:val="00A877E8"/>
    <w:rsid w:val="00A87E02"/>
    <w:rsid w:val="00A90673"/>
    <w:rsid w:val="00A93F4E"/>
    <w:rsid w:val="00AA0535"/>
    <w:rsid w:val="00AA4A66"/>
    <w:rsid w:val="00AB07AC"/>
    <w:rsid w:val="00AB52DE"/>
    <w:rsid w:val="00AB5EA2"/>
    <w:rsid w:val="00AB7698"/>
    <w:rsid w:val="00AB7BB7"/>
    <w:rsid w:val="00AD3C7E"/>
    <w:rsid w:val="00AD47CA"/>
    <w:rsid w:val="00AD752A"/>
    <w:rsid w:val="00AE2DFE"/>
    <w:rsid w:val="00AE342F"/>
    <w:rsid w:val="00AF3FB0"/>
    <w:rsid w:val="00AF4314"/>
    <w:rsid w:val="00B06E2C"/>
    <w:rsid w:val="00B07313"/>
    <w:rsid w:val="00B146AD"/>
    <w:rsid w:val="00B1642C"/>
    <w:rsid w:val="00B30CA8"/>
    <w:rsid w:val="00B33D80"/>
    <w:rsid w:val="00B345C3"/>
    <w:rsid w:val="00B46C5D"/>
    <w:rsid w:val="00B46D3F"/>
    <w:rsid w:val="00B51FBC"/>
    <w:rsid w:val="00B548FB"/>
    <w:rsid w:val="00B55C85"/>
    <w:rsid w:val="00B64D6A"/>
    <w:rsid w:val="00B6775C"/>
    <w:rsid w:val="00B71E96"/>
    <w:rsid w:val="00B729CA"/>
    <w:rsid w:val="00B72C19"/>
    <w:rsid w:val="00B73DF0"/>
    <w:rsid w:val="00B86E17"/>
    <w:rsid w:val="00B90B96"/>
    <w:rsid w:val="00BA7538"/>
    <w:rsid w:val="00BA7BEB"/>
    <w:rsid w:val="00BC7D8D"/>
    <w:rsid w:val="00BD45B9"/>
    <w:rsid w:val="00BD5922"/>
    <w:rsid w:val="00BD69A8"/>
    <w:rsid w:val="00BE13D3"/>
    <w:rsid w:val="00BE72C5"/>
    <w:rsid w:val="00C160F6"/>
    <w:rsid w:val="00C354C1"/>
    <w:rsid w:val="00C44A30"/>
    <w:rsid w:val="00C607D7"/>
    <w:rsid w:val="00C60CF7"/>
    <w:rsid w:val="00C619C4"/>
    <w:rsid w:val="00C619DA"/>
    <w:rsid w:val="00C61B51"/>
    <w:rsid w:val="00C63A76"/>
    <w:rsid w:val="00C63E27"/>
    <w:rsid w:val="00C70142"/>
    <w:rsid w:val="00C74418"/>
    <w:rsid w:val="00C771FC"/>
    <w:rsid w:val="00C8054F"/>
    <w:rsid w:val="00C857FB"/>
    <w:rsid w:val="00C94725"/>
    <w:rsid w:val="00C96F7F"/>
    <w:rsid w:val="00C97547"/>
    <w:rsid w:val="00CA7067"/>
    <w:rsid w:val="00CB6DB0"/>
    <w:rsid w:val="00CC1C55"/>
    <w:rsid w:val="00CC2246"/>
    <w:rsid w:val="00CC2C8D"/>
    <w:rsid w:val="00CD2874"/>
    <w:rsid w:val="00CD5522"/>
    <w:rsid w:val="00CD5A98"/>
    <w:rsid w:val="00CD737F"/>
    <w:rsid w:val="00CF1231"/>
    <w:rsid w:val="00D03EDF"/>
    <w:rsid w:val="00D064C3"/>
    <w:rsid w:val="00D11014"/>
    <w:rsid w:val="00D1194B"/>
    <w:rsid w:val="00D1707B"/>
    <w:rsid w:val="00D1760C"/>
    <w:rsid w:val="00D2234B"/>
    <w:rsid w:val="00D33542"/>
    <w:rsid w:val="00D33815"/>
    <w:rsid w:val="00D432EE"/>
    <w:rsid w:val="00D448E1"/>
    <w:rsid w:val="00D5614F"/>
    <w:rsid w:val="00D610F6"/>
    <w:rsid w:val="00D61B86"/>
    <w:rsid w:val="00D64032"/>
    <w:rsid w:val="00D8193D"/>
    <w:rsid w:val="00D86091"/>
    <w:rsid w:val="00D866A6"/>
    <w:rsid w:val="00D97200"/>
    <w:rsid w:val="00D97583"/>
    <w:rsid w:val="00DB547C"/>
    <w:rsid w:val="00DB6E9A"/>
    <w:rsid w:val="00DB7E68"/>
    <w:rsid w:val="00DC1B94"/>
    <w:rsid w:val="00DD028F"/>
    <w:rsid w:val="00DD3E68"/>
    <w:rsid w:val="00DE2885"/>
    <w:rsid w:val="00DE5AA2"/>
    <w:rsid w:val="00DF2343"/>
    <w:rsid w:val="00DF4B7F"/>
    <w:rsid w:val="00DF5048"/>
    <w:rsid w:val="00DF5CA3"/>
    <w:rsid w:val="00DF7417"/>
    <w:rsid w:val="00E037E0"/>
    <w:rsid w:val="00E04636"/>
    <w:rsid w:val="00E1521B"/>
    <w:rsid w:val="00E2200A"/>
    <w:rsid w:val="00E44352"/>
    <w:rsid w:val="00E50618"/>
    <w:rsid w:val="00E5532F"/>
    <w:rsid w:val="00E72537"/>
    <w:rsid w:val="00E73116"/>
    <w:rsid w:val="00E83C9C"/>
    <w:rsid w:val="00E946CD"/>
    <w:rsid w:val="00EA042C"/>
    <w:rsid w:val="00EA171D"/>
    <w:rsid w:val="00EA20C7"/>
    <w:rsid w:val="00EB6691"/>
    <w:rsid w:val="00EC30B2"/>
    <w:rsid w:val="00EC72FB"/>
    <w:rsid w:val="00ED0E8C"/>
    <w:rsid w:val="00EE5344"/>
    <w:rsid w:val="00EE616E"/>
    <w:rsid w:val="00EE6E65"/>
    <w:rsid w:val="00EE72F0"/>
    <w:rsid w:val="00EF5D16"/>
    <w:rsid w:val="00F01755"/>
    <w:rsid w:val="00F06B9A"/>
    <w:rsid w:val="00F144C8"/>
    <w:rsid w:val="00F20549"/>
    <w:rsid w:val="00F207D2"/>
    <w:rsid w:val="00F231CC"/>
    <w:rsid w:val="00F24D9E"/>
    <w:rsid w:val="00F27AAB"/>
    <w:rsid w:val="00F3167E"/>
    <w:rsid w:val="00F36705"/>
    <w:rsid w:val="00F42295"/>
    <w:rsid w:val="00F57330"/>
    <w:rsid w:val="00F57CE3"/>
    <w:rsid w:val="00F705BC"/>
    <w:rsid w:val="00F76771"/>
    <w:rsid w:val="00F81210"/>
    <w:rsid w:val="00F83637"/>
    <w:rsid w:val="00F84D10"/>
    <w:rsid w:val="00F8721B"/>
    <w:rsid w:val="00F877C4"/>
    <w:rsid w:val="00F87EA4"/>
    <w:rsid w:val="00F91013"/>
    <w:rsid w:val="00FA1ACC"/>
    <w:rsid w:val="00FA31B2"/>
    <w:rsid w:val="00FA7E67"/>
    <w:rsid w:val="00FB2FB3"/>
    <w:rsid w:val="00FC5386"/>
    <w:rsid w:val="00FD0C7C"/>
    <w:rsid w:val="00FD185A"/>
    <w:rsid w:val="00FD2902"/>
    <w:rsid w:val="00FD390F"/>
    <w:rsid w:val="00FD4CEF"/>
    <w:rsid w:val="00FD4CF4"/>
    <w:rsid w:val="00FD675B"/>
    <w:rsid w:val="00FD75F6"/>
    <w:rsid w:val="00FE7037"/>
    <w:rsid w:val="00FF594E"/>
    <w:rsid w:val="00FF73CD"/>
    <w:rsid w:val="7F1ED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D50E"/>
  <w15:docId w15:val="{74CE8E33-480D-48F4-96CF-6A6E8D12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CD"/>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F7F"/>
    <w:rPr>
      <w:rFonts w:ascii="Tahoma" w:hAnsi="Tahoma" w:cs="Tahoma"/>
      <w:sz w:val="16"/>
      <w:szCs w:val="16"/>
    </w:rPr>
  </w:style>
  <w:style w:type="paragraph" w:styleId="Header">
    <w:name w:val="header"/>
    <w:basedOn w:val="Normal"/>
    <w:link w:val="HeaderChar"/>
    <w:uiPriority w:val="99"/>
    <w:unhideWhenUsed/>
    <w:rsid w:val="00C96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7F"/>
  </w:style>
  <w:style w:type="paragraph" w:styleId="Footer">
    <w:name w:val="footer"/>
    <w:basedOn w:val="Normal"/>
    <w:link w:val="FooterChar"/>
    <w:uiPriority w:val="99"/>
    <w:unhideWhenUsed/>
    <w:rsid w:val="00C96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7F"/>
  </w:style>
  <w:style w:type="character" w:styleId="Hyperlink">
    <w:name w:val="Hyperlink"/>
    <w:basedOn w:val="DefaultParagraphFont"/>
    <w:uiPriority w:val="99"/>
    <w:semiHidden/>
    <w:unhideWhenUsed/>
    <w:rsid w:val="00D64032"/>
    <w:rPr>
      <w:strike w:val="0"/>
      <w:dstrike w:val="0"/>
      <w:color w:val="4A216F"/>
      <w:u w:val="none"/>
      <w:effect w:val="none"/>
    </w:rPr>
  </w:style>
  <w:style w:type="paragraph" w:styleId="NormalWeb">
    <w:name w:val="Normal (Web)"/>
    <w:basedOn w:val="Normal"/>
    <w:uiPriority w:val="99"/>
    <w:unhideWhenUsed/>
    <w:rsid w:val="00D64032"/>
    <w:pPr>
      <w:spacing w:after="24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4032"/>
    <w:pPr>
      <w:ind w:left="720"/>
      <w:contextualSpacing/>
    </w:pPr>
  </w:style>
  <w:style w:type="table" w:styleId="TableGrid">
    <w:name w:val="Table Grid"/>
    <w:basedOn w:val="TableNormal"/>
    <w:uiPriority w:val="59"/>
    <w:rsid w:val="00523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070A"/>
    <w:rPr>
      <w:sz w:val="16"/>
      <w:szCs w:val="16"/>
    </w:rPr>
  </w:style>
  <w:style w:type="paragraph" w:styleId="CommentText">
    <w:name w:val="annotation text"/>
    <w:basedOn w:val="Normal"/>
    <w:link w:val="CommentTextChar"/>
    <w:uiPriority w:val="99"/>
    <w:unhideWhenUsed/>
    <w:rsid w:val="003C070A"/>
    <w:pPr>
      <w:spacing w:line="240" w:lineRule="auto"/>
    </w:pPr>
    <w:rPr>
      <w:sz w:val="20"/>
      <w:szCs w:val="20"/>
    </w:rPr>
  </w:style>
  <w:style w:type="character" w:customStyle="1" w:styleId="CommentTextChar">
    <w:name w:val="Comment Text Char"/>
    <w:basedOn w:val="DefaultParagraphFont"/>
    <w:link w:val="CommentText"/>
    <w:uiPriority w:val="99"/>
    <w:rsid w:val="003C070A"/>
    <w:rPr>
      <w:sz w:val="20"/>
      <w:szCs w:val="20"/>
    </w:rPr>
  </w:style>
  <w:style w:type="paragraph" w:styleId="CommentSubject">
    <w:name w:val="annotation subject"/>
    <w:basedOn w:val="CommentText"/>
    <w:next w:val="CommentText"/>
    <w:link w:val="CommentSubjectChar"/>
    <w:uiPriority w:val="99"/>
    <w:semiHidden/>
    <w:unhideWhenUsed/>
    <w:rsid w:val="003C070A"/>
    <w:rPr>
      <w:b/>
      <w:bCs/>
    </w:rPr>
  </w:style>
  <w:style w:type="character" w:customStyle="1" w:styleId="CommentSubjectChar">
    <w:name w:val="Comment Subject Char"/>
    <w:basedOn w:val="CommentTextChar"/>
    <w:link w:val="CommentSubject"/>
    <w:uiPriority w:val="99"/>
    <w:semiHidden/>
    <w:rsid w:val="003C070A"/>
    <w:rPr>
      <w:b/>
      <w:bCs/>
      <w:sz w:val="20"/>
      <w:szCs w:val="20"/>
    </w:rPr>
  </w:style>
  <w:style w:type="paragraph" w:styleId="Revision">
    <w:name w:val="Revision"/>
    <w:hidden/>
    <w:uiPriority w:val="99"/>
    <w:semiHidden/>
    <w:rsid w:val="003C070A"/>
    <w:pPr>
      <w:spacing w:after="0" w:line="240" w:lineRule="auto"/>
    </w:pPr>
  </w:style>
  <w:style w:type="character" w:styleId="Mention">
    <w:name w:val="Mention"/>
    <w:basedOn w:val="DefaultParagraphFont"/>
    <w:uiPriority w:val="99"/>
    <w:unhideWhenUsed/>
    <w:rsid w:val="006B1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6792">
      <w:bodyDiv w:val="1"/>
      <w:marLeft w:val="0"/>
      <w:marRight w:val="0"/>
      <w:marTop w:val="0"/>
      <w:marBottom w:val="0"/>
      <w:divBdr>
        <w:top w:val="none" w:sz="0" w:space="0" w:color="auto"/>
        <w:left w:val="none" w:sz="0" w:space="0" w:color="auto"/>
        <w:bottom w:val="none" w:sz="0" w:space="0" w:color="auto"/>
        <w:right w:val="none" w:sz="0" w:space="0" w:color="auto"/>
      </w:divBdr>
    </w:div>
    <w:div w:id="804813172">
      <w:bodyDiv w:val="1"/>
      <w:marLeft w:val="0"/>
      <w:marRight w:val="0"/>
      <w:marTop w:val="0"/>
      <w:marBottom w:val="0"/>
      <w:divBdr>
        <w:top w:val="none" w:sz="0" w:space="0" w:color="auto"/>
        <w:left w:val="none" w:sz="0" w:space="0" w:color="auto"/>
        <w:bottom w:val="none" w:sz="0" w:space="0" w:color="auto"/>
        <w:right w:val="none" w:sz="0" w:space="0" w:color="auto"/>
      </w:divBdr>
      <w:divsChild>
        <w:div w:id="271281698">
          <w:marLeft w:val="0"/>
          <w:marRight w:val="0"/>
          <w:marTop w:val="0"/>
          <w:marBottom w:val="0"/>
          <w:divBdr>
            <w:top w:val="none" w:sz="0" w:space="0" w:color="auto"/>
            <w:left w:val="none" w:sz="0" w:space="0" w:color="auto"/>
            <w:bottom w:val="none" w:sz="0" w:space="0" w:color="auto"/>
            <w:right w:val="none" w:sz="0" w:space="0" w:color="auto"/>
          </w:divBdr>
          <w:divsChild>
            <w:div w:id="959650014">
              <w:marLeft w:val="0"/>
              <w:marRight w:val="0"/>
              <w:marTop w:val="300"/>
              <w:marBottom w:val="300"/>
              <w:divBdr>
                <w:top w:val="none" w:sz="0" w:space="0" w:color="auto"/>
                <w:left w:val="none" w:sz="0" w:space="0" w:color="auto"/>
                <w:bottom w:val="none" w:sz="0" w:space="0" w:color="auto"/>
                <w:right w:val="none" w:sz="0" w:space="0" w:color="auto"/>
              </w:divBdr>
              <w:divsChild>
                <w:div w:id="1303540785">
                  <w:marLeft w:val="0"/>
                  <w:marRight w:val="0"/>
                  <w:marTop w:val="0"/>
                  <w:marBottom w:val="0"/>
                  <w:divBdr>
                    <w:top w:val="none" w:sz="0" w:space="0" w:color="auto"/>
                    <w:left w:val="none" w:sz="0" w:space="0" w:color="auto"/>
                    <w:bottom w:val="none" w:sz="0" w:space="0" w:color="auto"/>
                    <w:right w:val="none" w:sz="0" w:space="0" w:color="auto"/>
                  </w:divBdr>
                  <w:divsChild>
                    <w:div w:id="171770121">
                      <w:marLeft w:val="0"/>
                      <w:marRight w:val="0"/>
                      <w:marTop w:val="0"/>
                      <w:marBottom w:val="0"/>
                      <w:divBdr>
                        <w:top w:val="none" w:sz="0" w:space="0" w:color="auto"/>
                        <w:left w:val="none" w:sz="0" w:space="0" w:color="auto"/>
                        <w:bottom w:val="none" w:sz="0" w:space="0" w:color="auto"/>
                        <w:right w:val="none" w:sz="0" w:space="0" w:color="auto"/>
                      </w:divBdr>
                      <w:divsChild>
                        <w:div w:id="1572691998">
                          <w:marLeft w:val="0"/>
                          <w:marRight w:val="0"/>
                          <w:marTop w:val="0"/>
                          <w:marBottom w:val="0"/>
                          <w:divBdr>
                            <w:top w:val="none" w:sz="0" w:space="0" w:color="auto"/>
                            <w:left w:val="none" w:sz="0" w:space="0" w:color="auto"/>
                            <w:bottom w:val="none" w:sz="0" w:space="0" w:color="auto"/>
                            <w:right w:val="none" w:sz="0" w:space="0" w:color="auto"/>
                          </w:divBdr>
                          <w:divsChild>
                            <w:div w:id="613050931">
                              <w:marLeft w:val="0"/>
                              <w:marRight w:val="0"/>
                              <w:marTop w:val="0"/>
                              <w:marBottom w:val="0"/>
                              <w:divBdr>
                                <w:top w:val="none" w:sz="0" w:space="0" w:color="auto"/>
                                <w:left w:val="none" w:sz="0" w:space="0" w:color="auto"/>
                                <w:bottom w:val="none" w:sz="0" w:space="0" w:color="auto"/>
                                <w:right w:val="none" w:sz="0" w:space="0" w:color="auto"/>
                              </w:divBdr>
                              <w:divsChild>
                                <w:div w:id="1671563716">
                                  <w:marLeft w:val="0"/>
                                  <w:marRight w:val="0"/>
                                  <w:marTop w:val="0"/>
                                  <w:marBottom w:val="0"/>
                                  <w:divBdr>
                                    <w:top w:val="none" w:sz="0" w:space="0" w:color="auto"/>
                                    <w:left w:val="none" w:sz="0" w:space="0" w:color="auto"/>
                                    <w:bottom w:val="none" w:sz="0" w:space="0" w:color="auto"/>
                                    <w:right w:val="none" w:sz="0" w:space="0" w:color="auto"/>
                                  </w:divBdr>
                                  <w:divsChild>
                                    <w:div w:id="1919709304">
                                      <w:marLeft w:val="0"/>
                                      <w:marRight w:val="0"/>
                                      <w:marTop w:val="0"/>
                                      <w:marBottom w:val="0"/>
                                      <w:divBdr>
                                        <w:top w:val="none" w:sz="0" w:space="0" w:color="auto"/>
                                        <w:left w:val="none" w:sz="0" w:space="0" w:color="auto"/>
                                        <w:bottom w:val="none" w:sz="0" w:space="0" w:color="auto"/>
                                        <w:right w:val="none" w:sz="0" w:space="0" w:color="auto"/>
                                      </w:divBdr>
                                      <w:divsChild>
                                        <w:div w:id="458034637">
                                          <w:marLeft w:val="0"/>
                                          <w:marRight w:val="0"/>
                                          <w:marTop w:val="0"/>
                                          <w:marBottom w:val="0"/>
                                          <w:divBdr>
                                            <w:top w:val="none" w:sz="0" w:space="0" w:color="auto"/>
                                            <w:left w:val="none" w:sz="0" w:space="0" w:color="auto"/>
                                            <w:bottom w:val="none" w:sz="0" w:space="0" w:color="auto"/>
                                            <w:right w:val="none" w:sz="0" w:space="0" w:color="auto"/>
                                          </w:divBdr>
                                          <w:divsChild>
                                            <w:div w:id="2038850988">
                                              <w:marLeft w:val="0"/>
                                              <w:marRight w:val="0"/>
                                              <w:marTop w:val="0"/>
                                              <w:marBottom w:val="0"/>
                                              <w:divBdr>
                                                <w:top w:val="none" w:sz="0" w:space="0" w:color="auto"/>
                                                <w:left w:val="none" w:sz="0" w:space="0" w:color="auto"/>
                                                <w:bottom w:val="none" w:sz="0" w:space="0" w:color="auto"/>
                                                <w:right w:val="none" w:sz="0" w:space="0" w:color="auto"/>
                                              </w:divBdr>
                                              <w:divsChild>
                                                <w:div w:id="1267538619">
                                                  <w:marLeft w:val="0"/>
                                                  <w:marRight w:val="0"/>
                                                  <w:marTop w:val="0"/>
                                                  <w:marBottom w:val="0"/>
                                                  <w:divBdr>
                                                    <w:top w:val="none" w:sz="0" w:space="0" w:color="auto"/>
                                                    <w:left w:val="none" w:sz="0" w:space="0" w:color="auto"/>
                                                    <w:bottom w:val="none" w:sz="0" w:space="0" w:color="auto"/>
                                                    <w:right w:val="none" w:sz="0" w:space="0" w:color="auto"/>
                                                  </w:divBdr>
                                                  <w:divsChild>
                                                    <w:div w:id="1899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991052">
      <w:bodyDiv w:val="1"/>
      <w:marLeft w:val="0"/>
      <w:marRight w:val="0"/>
      <w:marTop w:val="0"/>
      <w:marBottom w:val="0"/>
      <w:divBdr>
        <w:top w:val="none" w:sz="0" w:space="0" w:color="auto"/>
        <w:left w:val="none" w:sz="0" w:space="0" w:color="auto"/>
        <w:bottom w:val="none" w:sz="0" w:space="0" w:color="auto"/>
        <w:right w:val="none" w:sz="0" w:space="0" w:color="auto"/>
      </w:divBdr>
    </w:div>
    <w:div w:id="1095590616">
      <w:bodyDiv w:val="1"/>
      <w:marLeft w:val="0"/>
      <w:marRight w:val="0"/>
      <w:marTop w:val="0"/>
      <w:marBottom w:val="0"/>
      <w:divBdr>
        <w:top w:val="none" w:sz="0" w:space="0" w:color="auto"/>
        <w:left w:val="none" w:sz="0" w:space="0" w:color="auto"/>
        <w:bottom w:val="none" w:sz="0" w:space="0" w:color="auto"/>
        <w:right w:val="none" w:sz="0" w:space="0" w:color="auto"/>
      </w:divBdr>
    </w:div>
    <w:div w:id="1296787972">
      <w:bodyDiv w:val="1"/>
      <w:marLeft w:val="0"/>
      <w:marRight w:val="0"/>
      <w:marTop w:val="0"/>
      <w:marBottom w:val="0"/>
      <w:divBdr>
        <w:top w:val="none" w:sz="0" w:space="0" w:color="auto"/>
        <w:left w:val="none" w:sz="0" w:space="0" w:color="auto"/>
        <w:bottom w:val="none" w:sz="0" w:space="0" w:color="auto"/>
        <w:right w:val="none" w:sz="0" w:space="0" w:color="auto"/>
      </w:divBdr>
    </w:div>
    <w:div w:id="1577593581">
      <w:bodyDiv w:val="1"/>
      <w:marLeft w:val="0"/>
      <w:marRight w:val="0"/>
      <w:marTop w:val="0"/>
      <w:marBottom w:val="0"/>
      <w:divBdr>
        <w:top w:val="none" w:sz="0" w:space="0" w:color="auto"/>
        <w:left w:val="none" w:sz="0" w:space="0" w:color="auto"/>
        <w:bottom w:val="none" w:sz="0" w:space="0" w:color="auto"/>
        <w:right w:val="none" w:sz="0" w:space="0" w:color="auto"/>
      </w:divBdr>
    </w:div>
    <w:div w:id="1653365088">
      <w:bodyDiv w:val="1"/>
      <w:marLeft w:val="0"/>
      <w:marRight w:val="0"/>
      <w:marTop w:val="0"/>
      <w:marBottom w:val="0"/>
      <w:divBdr>
        <w:top w:val="none" w:sz="0" w:space="0" w:color="auto"/>
        <w:left w:val="none" w:sz="0" w:space="0" w:color="auto"/>
        <w:bottom w:val="none" w:sz="0" w:space="0" w:color="auto"/>
        <w:right w:val="none" w:sz="0" w:space="0" w:color="auto"/>
      </w:divBdr>
      <w:divsChild>
        <w:div w:id="37508221">
          <w:marLeft w:val="0"/>
          <w:marRight w:val="0"/>
          <w:marTop w:val="0"/>
          <w:marBottom w:val="0"/>
          <w:divBdr>
            <w:top w:val="none" w:sz="0" w:space="0" w:color="auto"/>
            <w:left w:val="none" w:sz="0" w:space="0" w:color="auto"/>
            <w:bottom w:val="none" w:sz="0" w:space="0" w:color="auto"/>
            <w:right w:val="none" w:sz="0" w:space="0" w:color="auto"/>
          </w:divBdr>
          <w:divsChild>
            <w:div w:id="1256399020">
              <w:marLeft w:val="0"/>
              <w:marRight w:val="0"/>
              <w:marTop w:val="300"/>
              <w:marBottom w:val="300"/>
              <w:divBdr>
                <w:top w:val="none" w:sz="0" w:space="0" w:color="auto"/>
                <w:left w:val="none" w:sz="0" w:space="0" w:color="auto"/>
                <w:bottom w:val="none" w:sz="0" w:space="0" w:color="auto"/>
                <w:right w:val="none" w:sz="0" w:space="0" w:color="auto"/>
              </w:divBdr>
              <w:divsChild>
                <w:div w:id="608270720">
                  <w:marLeft w:val="0"/>
                  <w:marRight w:val="0"/>
                  <w:marTop w:val="0"/>
                  <w:marBottom w:val="0"/>
                  <w:divBdr>
                    <w:top w:val="none" w:sz="0" w:space="0" w:color="auto"/>
                    <w:left w:val="none" w:sz="0" w:space="0" w:color="auto"/>
                    <w:bottom w:val="none" w:sz="0" w:space="0" w:color="auto"/>
                    <w:right w:val="none" w:sz="0" w:space="0" w:color="auto"/>
                  </w:divBdr>
                  <w:divsChild>
                    <w:div w:id="1538350201">
                      <w:marLeft w:val="0"/>
                      <w:marRight w:val="0"/>
                      <w:marTop w:val="0"/>
                      <w:marBottom w:val="0"/>
                      <w:divBdr>
                        <w:top w:val="none" w:sz="0" w:space="0" w:color="auto"/>
                        <w:left w:val="none" w:sz="0" w:space="0" w:color="auto"/>
                        <w:bottom w:val="none" w:sz="0" w:space="0" w:color="auto"/>
                        <w:right w:val="none" w:sz="0" w:space="0" w:color="auto"/>
                      </w:divBdr>
                      <w:divsChild>
                        <w:div w:id="2006781255">
                          <w:marLeft w:val="0"/>
                          <w:marRight w:val="0"/>
                          <w:marTop w:val="0"/>
                          <w:marBottom w:val="0"/>
                          <w:divBdr>
                            <w:top w:val="none" w:sz="0" w:space="0" w:color="auto"/>
                            <w:left w:val="none" w:sz="0" w:space="0" w:color="auto"/>
                            <w:bottom w:val="none" w:sz="0" w:space="0" w:color="auto"/>
                            <w:right w:val="none" w:sz="0" w:space="0" w:color="auto"/>
                          </w:divBdr>
                          <w:divsChild>
                            <w:div w:id="1493058261">
                              <w:marLeft w:val="0"/>
                              <w:marRight w:val="0"/>
                              <w:marTop w:val="0"/>
                              <w:marBottom w:val="0"/>
                              <w:divBdr>
                                <w:top w:val="none" w:sz="0" w:space="0" w:color="auto"/>
                                <w:left w:val="none" w:sz="0" w:space="0" w:color="auto"/>
                                <w:bottom w:val="none" w:sz="0" w:space="0" w:color="auto"/>
                                <w:right w:val="none" w:sz="0" w:space="0" w:color="auto"/>
                              </w:divBdr>
                              <w:divsChild>
                                <w:div w:id="2099253064">
                                  <w:marLeft w:val="0"/>
                                  <w:marRight w:val="0"/>
                                  <w:marTop w:val="0"/>
                                  <w:marBottom w:val="0"/>
                                  <w:divBdr>
                                    <w:top w:val="none" w:sz="0" w:space="0" w:color="auto"/>
                                    <w:left w:val="none" w:sz="0" w:space="0" w:color="auto"/>
                                    <w:bottom w:val="none" w:sz="0" w:space="0" w:color="auto"/>
                                    <w:right w:val="none" w:sz="0" w:space="0" w:color="auto"/>
                                  </w:divBdr>
                                  <w:divsChild>
                                    <w:div w:id="145708031">
                                      <w:marLeft w:val="0"/>
                                      <w:marRight w:val="0"/>
                                      <w:marTop w:val="0"/>
                                      <w:marBottom w:val="0"/>
                                      <w:divBdr>
                                        <w:top w:val="none" w:sz="0" w:space="0" w:color="auto"/>
                                        <w:left w:val="none" w:sz="0" w:space="0" w:color="auto"/>
                                        <w:bottom w:val="none" w:sz="0" w:space="0" w:color="auto"/>
                                        <w:right w:val="none" w:sz="0" w:space="0" w:color="auto"/>
                                      </w:divBdr>
                                      <w:divsChild>
                                        <w:div w:id="866914235">
                                          <w:marLeft w:val="0"/>
                                          <w:marRight w:val="0"/>
                                          <w:marTop w:val="0"/>
                                          <w:marBottom w:val="0"/>
                                          <w:divBdr>
                                            <w:top w:val="none" w:sz="0" w:space="0" w:color="auto"/>
                                            <w:left w:val="none" w:sz="0" w:space="0" w:color="auto"/>
                                            <w:bottom w:val="none" w:sz="0" w:space="0" w:color="auto"/>
                                            <w:right w:val="none" w:sz="0" w:space="0" w:color="auto"/>
                                          </w:divBdr>
                                          <w:divsChild>
                                            <w:div w:id="1988509328">
                                              <w:marLeft w:val="0"/>
                                              <w:marRight w:val="0"/>
                                              <w:marTop w:val="0"/>
                                              <w:marBottom w:val="0"/>
                                              <w:divBdr>
                                                <w:top w:val="none" w:sz="0" w:space="0" w:color="auto"/>
                                                <w:left w:val="none" w:sz="0" w:space="0" w:color="auto"/>
                                                <w:bottom w:val="none" w:sz="0" w:space="0" w:color="auto"/>
                                                <w:right w:val="none" w:sz="0" w:space="0" w:color="auto"/>
                                              </w:divBdr>
                                              <w:divsChild>
                                                <w:div w:id="104086268">
                                                  <w:marLeft w:val="0"/>
                                                  <w:marRight w:val="0"/>
                                                  <w:marTop w:val="0"/>
                                                  <w:marBottom w:val="0"/>
                                                  <w:divBdr>
                                                    <w:top w:val="none" w:sz="0" w:space="0" w:color="auto"/>
                                                    <w:left w:val="none" w:sz="0" w:space="0" w:color="auto"/>
                                                    <w:bottom w:val="none" w:sz="0" w:space="0" w:color="auto"/>
                                                    <w:right w:val="none" w:sz="0" w:space="0" w:color="auto"/>
                                                  </w:divBdr>
                                                  <w:divsChild>
                                                    <w:div w:id="13383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81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58e84-9a69-4364-b5f4-f18c638987b2">
      <Terms xmlns="http://schemas.microsoft.com/office/infopath/2007/PartnerControls"/>
    </lcf76f155ced4ddcb4097134ff3c332f>
    <TaxCatchAll xmlns="78c20805-421e-4887-bc2d-b35801829a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E5484C75135147AD5AB988E238F3AC" ma:contentTypeVersion="12" ma:contentTypeDescription="Create a new document." ma:contentTypeScope="" ma:versionID="0e39660a3072087cb42552c6a334371b">
  <xsd:schema xmlns:xsd="http://www.w3.org/2001/XMLSchema" xmlns:xs="http://www.w3.org/2001/XMLSchema" xmlns:p="http://schemas.microsoft.com/office/2006/metadata/properties" xmlns:ns2="07e58e84-9a69-4364-b5f4-f18c638987b2" xmlns:ns3="78c20805-421e-4887-bc2d-b35801829a7b" targetNamespace="http://schemas.microsoft.com/office/2006/metadata/properties" ma:root="true" ma:fieldsID="012f7d6bc230074cbb274f2300c1852d" ns2:_="" ns3:_="">
    <xsd:import namespace="07e58e84-9a69-4364-b5f4-f18c638987b2"/>
    <xsd:import namespace="78c20805-421e-4887-bc2d-b35801829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58e84-9a69-4364-b5f4-f18c63898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87a811-7f5e-4bdd-8a42-f79baa33ea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20805-421e-4887-bc2d-b35801829a7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5e6133-c769-4e77-912b-96881d9b4bea}" ma:internalName="TaxCatchAll" ma:showField="CatchAllData" ma:web="78c20805-421e-4887-bc2d-b35801829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EEF5B-50A5-485B-A005-DADED277A922}">
  <ds:schemaRefs>
    <ds:schemaRef ds:uri="http://schemas.openxmlformats.org/officeDocument/2006/bibliography"/>
  </ds:schemaRefs>
</ds:datastoreItem>
</file>

<file path=customXml/itemProps2.xml><?xml version="1.0" encoding="utf-8"?>
<ds:datastoreItem xmlns:ds="http://schemas.openxmlformats.org/officeDocument/2006/customXml" ds:itemID="{B11E685B-A58D-4032-87F7-F7E9DF9227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33BB27-015E-40DD-BC70-A18214DCCAF2}"/>
</file>

<file path=customXml/itemProps4.xml><?xml version="1.0" encoding="utf-8"?>
<ds:datastoreItem xmlns:ds="http://schemas.openxmlformats.org/officeDocument/2006/customXml" ds:itemID="{74C426F2-BB6E-46B2-9EF5-86111D141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1904</Words>
  <Characters>10054</Characters>
  <Application>Microsoft Office Word</Application>
  <DocSecurity>4</DocSecurity>
  <Lines>372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Caroline</dc:creator>
  <cp:keywords/>
  <dc:description/>
  <cp:lastModifiedBy>Emma Clayton</cp:lastModifiedBy>
  <cp:revision>2</cp:revision>
  <cp:lastPrinted>2019-05-22T09:24:00Z</cp:lastPrinted>
  <dcterms:created xsi:type="dcterms:W3CDTF">2026-06-09T09:20:00Z</dcterms:created>
  <dcterms:modified xsi:type="dcterms:W3CDTF">2026-06-09T09:20:00Z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0x010100C8E5484C75135147AD5AB988E238F3AC</vt:lpwstr>
  </property>
  <property fmtid="{D5CDD505-2E9C-101B-9397-08002B2CF9AE}" pid="3" name="Order">
    <vt:r8>35200</vt:r8>
  </property>
</Properties>
</file>